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color w:val="000000"/>
          <w:kern w:val="0"/>
          <w:sz w:val="28"/>
          <w:szCs w:val="28"/>
        </w:rPr>
      </w:pPr>
      <w:bookmarkStart w:id="0" w:name="_GoBack"/>
      <w:r>
        <w:rPr>
          <w:rFonts w:hint="eastAsia" w:ascii="黑体" w:hAnsi="黑体" w:eastAsia="黑体"/>
          <w:bCs/>
          <w:color w:val="000000"/>
          <w:kern w:val="0"/>
          <w:sz w:val="28"/>
          <w:szCs w:val="28"/>
        </w:rPr>
        <w:t>附件1</w:t>
      </w:r>
    </w:p>
    <w:p>
      <w:pPr>
        <w:jc w:val="center"/>
        <w:rPr>
          <w:rFonts w:hint="eastAsia" w:ascii="方正小标宋简体" w:hAnsi="微软雅黑" w:eastAsia="方正小标宋简体"/>
          <w:bCs/>
          <w:color w:val="000000"/>
          <w:kern w:val="0"/>
          <w:sz w:val="32"/>
          <w:szCs w:val="32"/>
        </w:rPr>
      </w:pPr>
      <w:r>
        <w:rPr>
          <w:rFonts w:hint="eastAsia" w:ascii="方正小标宋简体" w:hAnsi="微软雅黑" w:eastAsia="方正小标宋简体"/>
          <w:bCs/>
          <w:color w:val="000000"/>
          <w:kern w:val="0"/>
          <w:sz w:val="36"/>
          <w:szCs w:val="36"/>
        </w:rPr>
        <w:t>六安市城管局证明事项告知承诺制清单目录</w:t>
      </w:r>
    </w:p>
    <w:bookmarkEnd w:id="0"/>
    <w:tbl>
      <w:tblPr>
        <w:tblStyle w:val="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1693"/>
        <w:gridCol w:w="1354"/>
        <w:gridCol w:w="733"/>
        <w:gridCol w:w="1893"/>
        <w:gridCol w:w="1470"/>
        <w:gridCol w:w="148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序号</w:t>
            </w:r>
          </w:p>
        </w:tc>
        <w:tc>
          <w:tcPr>
            <w:tcW w:w="1693" w:type="dxa"/>
            <w:vMerge w:val="restart"/>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实行告知承诺制的证明事项</w:t>
            </w:r>
          </w:p>
        </w:tc>
        <w:tc>
          <w:tcPr>
            <w:tcW w:w="208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b/>
                <w:bCs/>
                <w:color w:val="000000"/>
              </w:rPr>
            </w:pPr>
            <w:r>
              <w:rPr>
                <w:rFonts w:hint="eastAsia" w:ascii="黑体" w:hAnsi="黑体" w:eastAsia="黑体"/>
                <w:b/>
                <w:bCs/>
                <w:color w:val="000000"/>
              </w:rPr>
              <w:t>对应办理的政务</w:t>
            </w:r>
          </w:p>
          <w:p>
            <w:pPr>
              <w:jc w:val="center"/>
              <w:rPr>
                <w:rFonts w:ascii="黑体" w:hAnsi="黑体" w:eastAsia="黑体"/>
                <w:b/>
                <w:bCs/>
                <w:color w:val="000000"/>
              </w:rPr>
            </w:pPr>
            <w:r>
              <w:rPr>
                <w:rFonts w:hint="eastAsia" w:ascii="黑体" w:hAnsi="黑体" w:eastAsia="黑体"/>
                <w:b/>
                <w:bCs/>
                <w:color w:val="000000"/>
              </w:rPr>
              <w:t>服务事项</w:t>
            </w:r>
          </w:p>
        </w:tc>
        <w:tc>
          <w:tcPr>
            <w:tcW w:w="1893" w:type="dxa"/>
            <w:vMerge w:val="restart"/>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证明用途</w:t>
            </w:r>
          </w:p>
        </w:tc>
        <w:tc>
          <w:tcPr>
            <w:tcW w:w="1470" w:type="dxa"/>
            <w:vMerge w:val="restart"/>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设定依据</w:t>
            </w:r>
          </w:p>
        </w:tc>
        <w:tc>
          <w:tcPr>
            <w:tcW w:w="1485" w:type="dxa"/>
            <w:vMerge w:val="restart"/>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开具</w:t>
            </w:r>
          </w:p>
          <w:p>
            <w:pPr>
              <w:jc w:val="center"/>
              <w:rPr>
                <w:rFonts w:ascii="黑体" w:hAnsi="黑体" w:eastAsia="黑体"/>
                <w:b/>
                <w:bCs/>
                <w:color w:val="000000"/>
                <w:szCs w:val="21"/>
              </w:rPr>
            </w:pPr>
            <w:r>
              <w:rPr>
                <w:rFonts w:hint="eastAsia" w:ascii="黑体" w:hAnsi="黑体" w:eastAsia="黑体"/>
                <w:b/>
                <w:bCs/>
                <w:color w:val="000000"/>
              </w:rPr>
              <w:t>单位</w:t>
            </w:r>
          </w:p>
        </w:tc>
        <w:tc>
          <w:tcPr>
            <w:tcW w:w="945" w:type="dxa"/>
            <w:vMerge w:val="restart"/>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color w:val="000000"/>
                <w:szCs w:val="21"/>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b/>
                <w:bCs/>
                <w:color w:val="000000"/>
                <w:szCs w:val="21"/>
              </w:rPr>
            </w:pPr>
          </w:p>
        </w:tc>
        <w:tc>
          <w:tcPr>
            <w:tcW w:w="1354"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名称</w:t>
            </w:r>
          </w:p>
        </w:tc>
        <w:tc>
          <w:tcPr>
            <w:tcW w:w="733"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b/>
                <w:bCs/>
                <w:color w:val="000000"/>
                <w:szCs w:val="21"/>
              </w:rPr>
            </w:pPr>
            <w:r>
              <w:rPr>
                <w:rFonts w:hint="eastAsia" w:ascii="黑体" w:hAnsi="黑体" w:eastAsia="黑体"/>
                <w:b/>
                <w:bCs/>
                <w:color w:val="000000"/>
              </w:rPr>
              <w:t>类型</w:t>
            </w:r>
          </w:p>
        </w:tc>
        <w:tc>
          <w:tcPr>
            <w:tcW w:w="189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b/>
                <w:bCs/>
                <w:color w:val="000000"/>
                <w:szCs w:val="21"/>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b/>
                <w:bCs/>
                <w:color w:val="000000"/>
                <w:szCs w:val="21"/>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b/>
                <w:bCs/>
                <w:color w:val="000000"/>
                <w:szCs w:val="21"/>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黑体" w:eastAsia="黑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000000"/>
                <w:szCs w:val="21"/>
              </w:rPr>
            </w:pPr>
            <w:r>
              <w:rPr>
                <w:rFonts w:hint="eastAsia" w:ascii="仿宋_GB2312" w:eastAsia="仿宋_GB2312"/>
                <w:color w:val="000000"/>
              </w:rPr>
              <w:t>1</w:t>
            </w:r>
          </w:p>
        </w:tc>
        <w:tc>
          <w:tcPr>
            <w:tcW w:w="16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建筑垃圾消纳场的土地用途证明</w:t>
            </w:r>
          </w:p>
        </w:tc>
        <w:tc>
          <w:tcPr>
            <w:tcW w:w="1354"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城市建筑垃圾处置核准</w:t>
            </w:r>
          </w:p>
        </w:tc>
        <w:tc>
          <w:tcPr>
            <w:tcW w:w="733"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行政</w:t>
            </w:r>
          </w:p>
          <w:p>
            <w:pPr>
              <w:spacing w:line="240" w:lineRule="exact"/>
              <w:jc w:val="center"/>
              <w:rPr>
                <w:rFonts w:ascii="仿宋_GB2312" w:hAnsi="Calibri" w:eastAsia="仿宋_GB2312"/>
                <w:color w:val="000000"/>
                <w:szCs w:val="21"/>
              </w:rPr>
            </w:pPr>
            <w:r>
              <w:rPr>
                <w:rFonts w:hint="eastAsia" w:ascii="仿宋_GB2312" w:eastAsia="仿宋_GB2312"/>
                <w:color w:val="000000"/>
              </w:rPr>
              <w:t>许可</w:t>
            </w:r>
          </w:p>
        </w:tc>
        <w:tc>
          <w:tcPr>
            <w:tcW w:w="18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用于证明建筑垃圾消纳场的土地用途</w:t>
            </w:r>
          </w:p>
        </w:tc>
        <w:tc>
          <w:tcPr>
            <w:tcW w:w="1470"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《建设部关于纳入国务院决定的十五项行政许可的条件的规定》（建设部令第135号，根据住房和城乡建设部令第9号、第10号修正）三、“城市建筑垃圾处置核准条件”</w:t>
            </w:r>
          </w:p>
        </w:tc>
        <w:tc>
          <w:tcPr>
            <w:tcW w:w="14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所在地自然资源和规划局</w:t>
            </w:r>
          </w:p>
          <w:p>
            <w:pPr>
              <w:spacing w:line="240" w:lineRule="exact"/>
              <w:jc w:val="center"/>
              <w:rPr>
                <w:rFonts w:ascii="仿宋_GB2312" w:hAnsi="Calibri" w:eastAsia="仿宋_GB2312"/>
                <w:color w:val="000000"/>
                <w:szCs w:val="21"/>
              </w:rPr>
            </w:pPr>
            <w:r>
              <w:rPr>
                <w:rFonts w:hint="eastAsia" w:ascii="仿宋_GB2312" w:eastAsia="仿宋_GB2312"/>
                <w:color w:val="000000"/>
              </w:rPr>
              <w:t>核发</w:t>
            </w:r>
          </w:p>
        </w:tc>
        <w:tc>
          <w:tcPr>
            <w:tcW w:w="9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Calibr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000000"/>
                <w:szCs w:val="21"/>
              </w:rPr>
            </w:pPr>
            <w:r>
              <w:rPr>
                <w:rFonts w:hint="eastAsia" w:ascii="仿宋_GB2312" w:eastAsia="仿宋_GB2312"/>
                <w:color w:val="000000"/>
              </w:rPr>
              <w:t>2</w:t>
            </w:r>
          </w:p>
        </w:tc>
        <w:tc>
          <w:tcPr>
            <w:tcW w:w="16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建筑垃圾消纳场具有相应摊铺、碾压、除尘、照明等机械和设备以及排水、消防等设施的证明</w:t>
            </w:r>
          </w:p>
        </w:tc>
        <w:tc>
          <w:tcPr>
            <w:tcW w:w="1354"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733"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8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用于证明建筑垃圾消纳场具有相应摊铺、碾压、除尘、照明等机械和设备；以及排水、消防等设施</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4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所在地建设(环境卫生)主管部门出具</w:t>
            </w:r>
          </w:p>
        </w:tc>
        <w:tc>
          <w:tcPr>
            <w:tcW w:w="9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Calibr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000000"/>
                <w:szCs w:val="21"/>
              </w:rPr>
            </w:pPr>
            <w:r>
              <w:rPr>
                <w:rFonts w:hint="eastAsia" w:ascii="仿宋_GB2312" w:eastAsia="仿宋_GB2312"/>
                <w:color w:val="000000"/>
              </w:rPr>
              <w:t>3</w:t>
            </w:r>
          </w:p>
        </w:tc>
        <w:tc>
          <w:tcPr>
            <w:tcW w:w="16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具有合法的道路运输经营许可证、车辆行驶证</w:t>
            </w:r>
          </w:p>
        </w:tc>
        <w:tc>
          <w:tcPr>
            <w:tcW w:w="1354"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733"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8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用于证明从事建筑垃圾处置运输车辆具有合法的道路运输经营资格</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4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所在地交通运管、公安交警部门核发</w:t>
            </w:r>
          </w:p>
        </w:tc>
        <w:tc>
          <w:tcPr>
            <w:tcW w:w="9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Calibri"/>
                <w:color w:val="000000"/>
                <w:kern w:val="0"/>
                <w:szCs w:val="21"/>
              </w:rPr>
            </w:pPr>
            <w:r>
              <w:rPr>
                <w:rFonts w:hint="eastAsia" w:ascii="仿宋_GB2312" w:eastAsia="仿宋_GB2312"/>
                <w:color w:val="000000"/>
              </w:rPr>
              <w:t>在证书遗失且不能及时补办情况下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000000"/>
                <w:szCs w:val="21"/>
              </w:rPr>
            </w:pPr>
            <w:r>
              <w:rPr>
                <w:rFonts w:hint="eastAsia" w:ascii="仿宋_GB2312" w:eastAsia="仿宋_GB2312"/>
                <w:color w:val="000000"/>
              </w:rPr>
              <w:t>4</w:t>
            </w:r>
          </w:p>
        </w:tc>
        <w:tc>
          <w:tcPr>
            <w:tcW w:w="16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排水许可申请受理之日前一个月内由具有计量认证资格的排水监测机构出具的排水水质、水量检测报告</w:t>
            </w:r>
          </w:p>
        </w:tc>
        <w:tc>
          <w:tcPr>
            <w:tcW w:w="135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城镇污水排入排水管网许可</w:t>
            </w:r>
          </w:p>
        </w:tc>
        <w:tc>
          <w:tcPr>
            <w:tcW w:w="73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行政</w:t>
            </w:r>
          </w:p>
          <w:p>
            <w:pPr>
              <w:spacing w:line="240" w:lineRule="exact"/>
              <w:jc w:val="center"/>
              <w:rPr>
                <w:rFonts w:ascii="仿宋_GB2312" w:hAnsi="Calibri" w:eastAsia="仿宋_GB2312"/>
                <w:color w:val="000000"/>
                <w:szCs w:val="21"/>
              </w:rPr>
            </w:pPr>
            <w:r>
              <w:rPr>
                <w:rFonts w:hint="eastAsia" w:ascii="仿宋_GB2312" w:eastAsia="仿宋_GB2312"/>
                <w:color w:val="000000"/>
              </w:rPr>
              <w:t>许可</w:t>
            </w:r>
          </w:p>
        </w:tc>
        <w:tc>
          <w:tcPr>
            <w:tcW w:w="18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用于证明所排放的污水水质、水量经具备执业资质的排水监测机构检测是否达到排放标准</w:t>
            </w:r>
          </w:p>
        </w:tc>
        <w:tc>
          <w:tcPr>
            <w:tcW w:w="14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《城镇污水排入排水管网许可管理办法》(住房和城乡建设部令第21号）第七条</w:t>
            </w:r>
          </w:p>
        </w:tc>
        <w:tc>
          <w:tcPr>
            <w:tcW w:w="14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具有计量认证资质的排水水质检测机构</w:t>
            </w:r>
          </w:p>
          <w:p>
            <w:pPr>
              <w:spacing w:line="240" w:lineRule="exact"/>
              <w:jc w:val="center"/>
              <w:rPr>
                <w:rFonts w:ascii="仿宋_GB2312" w:hAnsi="Calibri" w:eastAsia="仿宋_GB2312"/>
                <w:color w:val="000000"/>
                <w:szCs w:val="21"/>
              </w:rPr>
            </w:pPr>
            <w:r>
              <w:rPr>
                <w:rFonts w:hint="eastAsia" w:ascii="仿宋_GB2312" w:eastAsia="仿宋_GB2312"/>
                <w:color w:val="000000"/>
              </w:rPr>
              <w:t>出具</w:t>
            </w:r>
          </w:p>
        </w:tc>
        <w:tc>
          <w:tcPr>
            <w:tcW w:w="9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Calibr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000000"/>
                <w:szCs w:val="21"/>
              </w:rPr>
            </w:pPr>
            <w:r>
              <w:rPr>
                <w:rFonts w:hint="eastAsia" w:ascii="仿宋_GB2312" w:eastAsia="仿宋_GB2312"/>
                <w:color w:val="000000"/>
              </w:rPr>
              <w:t>5</w:t>
            </w:r>
          </w:p>
        </w:tc>
        <w:tc>
          <w:tcPr>
            <w:tcW w:w="16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生活垃圾处置设施、场所的权属关系证明材料</w:t>
            </w:r>
          </w:p>
        </w:tc>
        <w:tc>
          <w:tcPr>
            <w:tcW w:w="1354"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对关闭、闲置或者拆除城市生活垃圾处置设施、场所的核准</w:t>
            </w:r>
          </w:p>
        </w:tc>
        <w:tc>
          <w:tcPr>
            <w:tcW w:w="733"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其他</w:t>
            </w:r>
          </w:p>
          <w:p>
            <w:pPr>
              <w:spacing w:line="240" w:lineRule="exact"/>
              <w:jc w:val="center"/>
              <w:rPr>
                <w:rFonts w:ascii="仿宋_GB2312" w:hAnsi="Calibri" w:eastAsia="仿宋_GB2312"/>
                <w:color w:val="000000"/>
                <w:szCs w:val="21"/>
              </w:rPr>
            </w:pPr>
            <w:r>
              <w:rPr>
                <w:rFonts w:hint="eastAsia" w:ascii="仿宋_GB2312" w:eastAsia="仿宋_GB2312"/>
                <w:color w:val="000000"/>
              </w:rPr>
              <w:t>权力</w:t>
            </w:r>
          </w:p>
        </w:tc>
        <w:tc>
          <w:tcPr>
            <w:tcW w:w="18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用于证明生活垃圾处置设施、场所的权属关系</w:t>
            </w:r>
          </w:p>
        </w:tc>
        <w:tc>
          <w:tcPr>
            <w:tcW w:w="1470" w:type="dxa"/>
            <w:vMerge w:val="restart"/>
            <w:tcBorders>
              <w:top w:val="nil"/>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《城市生活垃圾管理办法》（建设部令第157号，根据住房和城乡建设部令第24号修正）第十四条</w:t>
            </w:r>
          </w:p>
        </w:tc>
        <w:tc>
          <w:tcPr>
            <w:tcW w:w="14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所在地自然资源和规划局</w:t>
            </w:r>
          </w:p>
          <w:p>
            <w:pPr>
              <w:spacing w:line="240" w:lineRule="exact"/>
              <w:jc w:val="center"/>
              <w:rPr>
                <w:rFonts w:ascii="仿宋_GB2312" w:hAnsi="Calibri" w:eastAsia="仿宋_GB2312"/>
                <w:color w:val="000000"/>
                <w:szCs w:val="21"/>
              </w:rPr>
            </w:pPr>
            <w:r>
              <w:rPr>
                <w:rFonts w:hint="eastAsia" w:ascii="仿宋_GB2312" w:eastAsia="仿宋_GB2312"/>
                <w:color w:val="000000"/>
              </w:rPr>
              <w:t>核发</w:t>
            </w:r>
          </w:p>
        </w:tc>
        <w:tc>
          <w:tcPr>
            <w:tcW w:w="9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Calibr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000000"/>
                <w:szCs w:val="21"/>
              </w:rPr>
            </w:pPr>
            <w:r>
              <w:rPr>
                <w:rFonts w:hint="eastAsia" w:ascii="仿宋_GB2312" w:eastAsia="仿宋_GB2312"/>
                <w:color w:val="000000"/>
              </w:rPr>
              <w:t>6</w:t>
            </w:r>
          </w:p>
        </w:tc>
        <w:tc>
          <w:tcPr>
            <w:tcW w:w="16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生活垃圾处置设施丧失使用功能或其使用功能被其他设施替代的证明</w:t>
            </w:r>
          </w:p>
        </w:tc>
        <w:tc>
          <w:tcPr>
            <w:tcW w:w="1354"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733"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8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用于证明设施使用功能丧失或其使用功能已被其他设施所替代</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4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所在地建设(环境卫生)主管部门出具</w:t>
            </w:r>
          </w:p>
        </w:tc>
        <w:tc>
          <w:tcPr>
            <w:tcW w:w="9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Calibr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000000"/>
                <w:szCs w:val="21"/>
              </w:rPr>
            </w:pPr>
            <w:r>
              <w:rPr>
                <w:rFonts w:hint="eastAsia" w:ascii="仿宋_GB2312" w:eastAsia="仿宋_GB2312"/>
                <w:color w:val="000000"/>
              </w:rPr>
              <w:t>7</w:t>
            </w:r>
          </w:p>
        </w:tc>
        <w:tc>
          <w:tcPr>
            <w:tcW w:w="16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因实施城市规划需要闲置、关闭或者拆除的，还应当提供规划、建设主管部门的批准文件</w:t>
            </w:r>
          </w:p>
        </w:tc>
        <w:tc>
          <w:tcPr>
            <w:tcW w:w="1354"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733"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89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用于证明闲置、关闭或拆除生活垃圾处置设施、场所事项是经城市规划、建设主管部门批准同意的</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Calibri" w:eastAsia="仿宋_GB2312"/>
                <w:color w:val="000000"/>
                <w:szCs w:val="21"/>
              </w:rPr>
            </w:pPr>
          </w:p>
        </w:tc>
        <w:tc>
          <w:tcPr>
            <w:tcW w:w="14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r>
              <w:rPr>
                <w:rFonts w:hint="eastAsia" w:ascii="仿宋_GB2312" w:eastAsia="仿宋_GB2312"/>
                <w:color w:val="000000"/>
              </w:rPr>
              <w:t>所在地规划、建设主管部门签发</w:t>
            </w:r>
          </w:p>
        </w:tc>
        <w:tc>
          <w:tcPr>
            <w:tcW w:w="9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hAnsi="Calibri" w:eastAsia="仿宋_GB2312"/>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669D7"/>
    <w:rsid w:val="3246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2021-03-05T09:46:00Z</dcterms:created>
  <dc:creator>WPS_1559567255</dc:creator>
  <cp:lastModifiedBy>WPS_1559567255</cp:lastModifiedBy>
  <dcterms:modified xsi:type="dcterms:W3CDTF">2021-03-05T09:47:12Z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