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position w:val="14"/>
          <w:sz w:val="28"/>
          <w:szCs w:val="28"/>
        </w:rPr>
      </w:pPr>
      <w:r>
        <w:rPr>
          <w:rFonts w:hint="eastAsia" w:ascii="黑体" w:hAnsi="黑体" w:eastAsia="黑体"/>
          <w:position w:val="14"/>
          <w:sz w:val="28"/>
          <w:szCs w:val="28"/>
        </w:rPr>
        <w:t xml:space="preserve">附件 </w:t>
      </w:r>
    </w:p>
    <w:p>
      <w:pPr>
        <w:spacing w:line="1000" w:lineRule="exact"/>
        <w:jc w:val="center"/>
        <w:rPr>
          <w:rFonts w:ascii="方正小标宋简体" w:eastAsia="方正小标宋简体"/>
          <w:spacing w:val="11"/>
          <w:position w:val="14"/>
          <w:sz w:val="44"/>
          <w:szCs w:val="44"/>
        </w:rPr>
      </w:pPr>
      <w:bookmarkStart w:id="0" w:name="_GoBack"/>
      <w:r>
        <w:rPr>
          <w:rFonts w:hint="eastAsia" w:ascii="方正小标宋简体" w:eastAsia="方正小标宋简体"/>
          <w:position w:val="14"/>
          <w:sz w:val="44"/>
          <w:szCs w:val="44"/>
        </w:rPr>
        <w:t>市城管局2021年优化营商环境工作任务分解表</w:t>
      </w:r>
    </w:p>
    <w:bookmarkEnd w:id="0"/>
    <w:tbl>
      <w:tblPr>
        <w:tblStyle w:val="3"/>
        <w:tblW w:w="14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7772"/>
        <w:gridCol w:w="1559"/>
        <w:gridCol w:w="1565"/>
        <w:gridCol w:w="116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073"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工</w:t>
            </w:r>
            <w:r>
              <w:rPr>
                <w:rFonts w:ascii="宋体" w:hAnsi="宋体" w:eastAsia="宋体"/>
                <w:b/>
                <w:bCs/>
                <w:szCs w:val="21"/>
              </w:rPr>
              <w:t> </w:t>
            </w:r>
            <w:r>
              <w:rPr>
                <w:rFonts w:hint="eastAsia" w:ascii="宋体" w:hAnsi="宋体" w:eastAsia="宋体"/>
                <w:b/>
                <w:bCs/>
                <w:szCs w:val="21"/>
              </w:rPr>
              <w:t>作</w:t>
            </w:r>
            <w:r>
              <w:rPr>
                <w:rFonts w:ascii="宋体" w:hAnsi="宋体" w:eastAsia="宋体"/>
                <w:b/>
                <w:bCs/>
                <w:szCs w:val="21"/>
              </w:rPr>
              <w:t> </w:t>
            </w:r>
            <w:r>
              <w:rPr>
                <w:rFonts w:hint="eastAsia" w:ascii="宋体" w:hAnsi="宋体" w:eastAsia="宋体"/>
                <w:b/>
                <w:bCs/>
                <w:szCs w:val="21"/>
              </w:rPr>
              <w:t>任</w:t>
            </w:r>
            <w:r>
              <w:rPr>
                <w:rFonts w:ascii="宋体" w:hAnsi="宋体" w:eastAsia="宋体"/>
                <w:b/>
                <w:bCs/>
                <w:szCs w:val="21"/>
              </w:rPr>
              <w:t> </w:t>
            </w:r>
            <w:r>
              <w:rPr>
                <w:rFonts w:hint="eastAsia" w:ascii="宋体" w:hAnsi="宋体" w:eastAsia="宋体"/>
                <w:b/>
                <w:bCs/>
                <w:szCs w:val="21"/>
              </w:rPr>
              <w:t>务</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牵头单位</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协同单位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责任领导</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301" w:type="dxa"/>
            <w:vMerge w:val="restart"/>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一、深化法治诚信，打造良好营商环境。</w:t>
            </w:r>
          </w:p>
        </w:tc>
        <w:tc>
          <w:tcPr>
            <w:tcW w:w="7772" w:type="dxa"/>
            <w:tcBorders>
              <w:top w:val="single" w:color="auto" w:sz="4" w:space="0"/>
              <w:left w:val="nil"/>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（一）完善营商环境法治保障体系。深入贯彻落实《民法典》《优化营商环境条例》，持续优化营商环境改革措施，鼓励在法治框架内开展先行先试。</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法制科</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机关各科室</w:t>
            </w:r>
          </w:p>
          <w:p>
            <w:pPr>
              <w:spacing w:line="280" w:lineRule="exact"/>
              <w:jc w:val="center"/>
              <w:rPr>
                <w:rFonts w:ascii="宋体" w:hAnsi="宋体" w:eastAsia="宋体"/>
                <w:szCs w:val="21"/>
              </w:rPr>
            </w:pPr>
            <w:r>
              <w:rPr>
                <w:rFonts w:hint="eastAsia" w:ascii="宋体" w:hAnsi="宋体" w:eastAsia="宋体"/>
                <w:szCs w:val="21"/>
              </w:rPr>
              <w:t>局属各单位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杜继军</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刘剑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Cs w:val="21"/>
              </w:rPr>
            </w:pPr>
          </w:p>
        </w:tc>
        <w:tc>
          <w:tcPr>
            <w:tcW w:w="7772" w:type="dxa"/>
            <w:tcBorders>
              <w:top w:val="single" w:color="auto" w:sz="4" w:space="0"/>
              <w:left w:val="nil"/>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二）严格实行公正文明执法。全面推行“阳光执法”，深入落实行政执法公示制度，执法全过程记录制度、重大执法决定法制审核制度。建立健全行政裁量权基准制度，细化、量化行政裁量标准，规范裁量范围、种类、幅度。贯彻落实“谁执法谁普法”责任制，开展“以案释法”活动。</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法制科</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机关各科室</w:t>
            </w:r>
          </w:p>
          <w:p>
            <w:pPr>
              <w:spacing w:line="280" w:lineRule="exact"/>
              <w:jc w:val="center"/>
              <w:rPr>
                <w:rFonts w:ascii="宋体" w:hAnsi="宋体" w:eastAsia="宋体"/>
                <w:szCs w:val="21"/>
              </w:rPr>
            </w:pPr>
            <w:r>
              <w:rPr>
                <w:rFonts w:hint="eastAsia" w:ascii="宋体" w:hAnsi="宋体" w:eastAsia="宋体"/>
                <w:szCs w:val="21"/>
              </w:rPr>
              <w:t>局属各单位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杜继军</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刘剑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Cs w:val="21"/>
              </w:rPr>
            </w:pPr>
          </w:p>
        </w:tc>
        <w:tc>
          <w:tcPr>
            <w:tcW w:w="7772" w:type="dxa"/>
            <w:tcBorders>
              <w:top w:val="single" w:color="auto" w:sz="4" w:space="0"/>
              <w:left w:val="nil"/>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（三）完善社会信用体系建设。严格落实行政许可和行政处罚信息</w:t>
            </w:r>
            <w:r>
              <w:rPr>
                <w:rFonts w:ascii="宋体" w:hAnsi="宋体" w:eastAsia="宋体"/>
                <w:szCs w:val="21"/>
              </w:rPr>
              <w:t>7</w:t>
            </w:r>
            <w:r>
              <w:rPr>
                <w:rFonts w:hint="eastAsia" w:ascii="宋体" w:hAnsi="宋体" w:eastAsia="宋体"/>
                <w:szCs w:val="21"/>
              </w:rPr>
              <w:t>日内应公示尽公示。配合有关部门执行全国统一的失信联合惩戒对象名单认定标准和失信联合惩戒措施清单。健全和完善失信行为信用修复机制。</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宋体" w:hAnsi="宋体" w:eastAsia="宋体"/>
                <w:szCs w:val="21"/>
              </w:rPr>
            </w:pPr>
            <w:r>
              <w:rPr>
                <w:rFonts w:hint="eastAsia" w:ascii="宋体" w:hAnsi="宋体" w:eastAsia="宋体"/>
                <w:szCs w:val="21"/>
              </w:rPr>
              <w:t>法制科</w:t>
            </w:r>
          </w:p>
          <w:p>
            <w:pPr>
              <w:spacing w:line="280" w:lineRule="exact"/>
              <w:jc w:val="center"/>
              <w:rPr>
                <w:rFonts w:ascii="宋体" w:hAnsi="宋体" w:eastAsia="宋体"/>
                <w:szCs w:val="21"/>
              </w:rPr>
            </w:pPr>
            <w:r>
              <w:rPr>
                <w:rFonts w:hint="eastAsia" w:ascii="宋体" w:hAnsi="宋体" w:eastAsia="宋体"/>
                <w:szCs w:val="21"/>
              </w:rPr>
              <w:t>行政审批窗口</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机关各科室</w:t>
            </w:r>
          </w:p>
          <w:p>
            <w:pPr>
              <w:spacing w:line="280" w:lineRule="exact"/>
              <w:jc w:val="center"/>
              <w:rPr>
                <w:rFonts w:ascii="宋体" w:hAnsi="宋体" w:eastAsia="宋体"/>
                <w:szCs w:val="21"/>
              </w:rPr>
            </w:pPr>
            <w:r>
              <w:rPr>
                <w:rFonts w:hint="eastAsia" w:ascii="宋体" w:hAnsi="宋体" w:eastAsia="宋体"/>
                <w:szCs w:val="21"/>
              </w:rPr>
              <w:t>局属各单位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杜继军</w:t>
            </w:r>
          </w:p>
          <w:p>
            <w:pPr>
              <w:spacing w:line="280" w:lineRule="exact"/>
              <w:jc w:val="center"/>
              <w:rPr>
                <w:rFonts w:ascii="宋体" w:hAnsi="宋体" w:eastAsia="宋体"/>
                <w:szCs w:val="21"/>
              </w:rPr>
            </w:pPr>
            <w:r>
              <w:rPr>
                <w:rFonts w:hint="eastAsia" w:ascii="宋体" w:hAnsi="宋体" w:eastAsia="宋体"/>
                <w:szCs w:val="21"/>
              </w:rPr>
              <w:t>孙旭进</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刘剑</w:t>
            </w:r>
          </w:p>
          <w:p>
            <w:pPr>
              <w:spacing w:line="28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1" w:type="dxa"/>
            <w:vMerge w:val="restart"/>
            <w:tcBorders>
              <w:top w:val="nil"/>
              <w:left w:val="single" w:color="auto" w:sz="4" w:space="0"/>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二、深化改革创新，提升服务能力水平。</w:t>
            </w:r>
          </w:p>
        </w:tc>
        <w:tc>
          <w:tcPr>
            <w:tcW w:w="7772" w:type="dxa"/>
            <w:tcBorders>
              <w:top w:val="single" w:color="auto" w:sz="4" w:space="0"/>
              <w:left w:val="nil"/>
              <w:bottom w:val="single" w:color="auto" w:sz="4" w:space="0"/>
              <w:right w:val="single" w:color="auto" w:sz="4" w:space="0"/>
            </w:tcBorders>
            <w:noWrap w:val="0"/>
            <w:vAlign w:val="center"/>
          </w:tcPr>
          <w:p>
            <w:pPr>
              <w:spacing w:line="280" w:lineRule="exact"/>
              <w:rPr>
                <w:rFonts w:ascii="宋体" w:hAnsi="宋体" w:eastAsia="宋体"/>
                <w:szCs w:val="21"/>
              </w:rPr>
            </w:pPr>
            <w:r>
              <w:rPr>
                <w:rFonts w:hint="eastAsia" w:ascii="宋体" w:hAnsi="宋体" w:eastAsia="宋体"/>
                <w:szCs w:val="21"/>
              </w:rPr>
              <w:t>（四）深化“证照分离”改革。按照国家统一部署，</w:t>
            </w:r>
            <w:r>
              <w:rPr>
                <w:rFonts w:ascii="宋体" w:hAnsi="宋体" w:eastAsia="宋体"/>
                <w:szCs w:val="21"/>
              </w:rPr>
              <w:t>2021</w:t>
            </w:r>
            <w:r>
              <w:rPr>
                <w:rFonts w:hint="eastAsia" w:ascii="宋体" w:hAnsi="宋体" w:eastAsia="宋体"/>
                <w:szCs w:val="21"/>
              </w:rPr>
              <w:t>年底前实现“证照分离”改革全覆盖，落实《安徽省住房城乡建设领域开展“证照分离”改革全覆盖试点工作实施方案》的通知（建审函</w:t>
            </w:r>
            <w:r>
              <w:rPr>
                <w:rFonts w:ascii="宋体" w:hAnsi="宋体" w:eastAsia="宋体"/>
                <w:szCs w:val="21"/>
              </w:rPr>
              <w:t>[2021]159</w:t>
            </w:r>
            <w:r>
              <w:rPr>
                <w:rFonts w:hint="eastAsia" w:ascii="宋体" w:hAnsi="宋体" w:eastAsia="宋体"/>
                <w:szCs w:val="21"/>
              </w:rPr>
              <w:t>号）要求，对我局涉及清单事项实行分类改革，扩大“告知承诺制审批”适用范围。创新和加强事中事后监管，逐步构建明规矩于前、寓监管于中、施重处于后、失信严惩戒的审批监管机制。在《六安市城管局全面推行证明事项告知承诺制工作实施方案》（六城管函</w:t>
            </w:r>
            <w:r>
              <w:rPr>
                <w:rFonts w:ascii="宋体" w:hAnsi="宋体" w:eastAsia="宋体"/>
                <w:szCs w:val="21"/>
              </w:rPr>
              <w:t>[2021]32</w:t>
            </w:r>
            <w:r>
              <w:rPr>
                <w:rFonts w:hint="eastAsia" w:ascii="宋体" w:hAnsi="宋体" w:eastAsia="宋体"/>
                <w:szCs w:val="21"/>
              </w:rPr>
              <w:t>号）要求基础上，进一步扩大实行告知承诺制的证明事项范围。按照最大限度利民便民原则，有针对性地选取与企业和群众生产生活密切相关，使用频次较高或者获取难度较大的证明事项实行告知承诺制。</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行政审批窗口</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机关各科室</w:t>
            </w:r>
          </w:p>
          <w:p>
            <w:pPr>
              <w:spacing w:line="280" w:lineRule="exact"/>
              <w:jc w:val="center"/>
              <w:rPr>
                <w:rFonts w:ascii="宋体" w:hAnsi="宋体" w:eastAsia="宋体"/>
                <w:szCs w:val="21"/>
              </w:rPr>
            </w:pPr>
            <w:r>
              <w:rPr>
                <w:rFonts w:hint="eastAsia" w:ascii="宋体" w:hAnsi="宋体" w:eastAsia="宋体"/>
                <w:szCs w:val="21"/>
              </w:rPr>
              <w:t>局属各单位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孙旭进</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eastAsia="宋体"/>
                <w:szCs w:val="21"/>
              </w:rPr>
            </w:pPr>
          </w:p>
        </w:tc>
        <w:tc>
          <w:tcPr>
            <w:tcW w:w="7772" w:type="dxa"/>
            <w:tcBorders>
              <w:top w:val="single" w:color="auto" w:sz="4" w:space="0"/>
              <w:left w:val="nil"/>
              <w:bottom w:val="single" w:color="auto" w:sz="4" w:space="0"/>
              <w:right w:val="single" w:color="auto" w:sz="4" w:space="0"/>
            </w:tcBorders>
            <w:noWrap w:val="0"/>
            <w:vAlign w:val="center"/>
          </w:tcPr>
          <w:p>
            <w:pPr>
              <w:pStyle w:val="6"/>
              <w:spacing w:line="280" w:lineRule="exact"/>
              <w:ind w:firstLine="0" w:firstLineChars="0"/>
              <w:rPr>
                <w:rFonts w:ascii="宋体" w:hAnsi="宋体" w:eastAsia="宋体"/>
                <w:szCs w:val="21"/>
              </w:rPr>
            </w:pPr>
            <w:r>
              <w:rPr>
                <w:rFonts w:hint="eastAsia" w:ascii="宋体" w:hAnsi="宋体" w:eastAsia="宋体"/>
                <w:szCs w:val="21"/>
              </w:rPr>
              <w:t>（五）构建公平公正市场监管机制。建立涉公平竞争审查投诉举报受理回应机制。增强“双随机、一公开”监管科学性、规范化程度，</w:t>
            </w:r>
            <w:r>
              <w:rPr>
                <w:rFonts w:ascii="宋体" w:hAnsi="宋体" w:eastAsia="宋体"/>
                <w:szCs w:val="21"/>
              </w:rPr>
              <w:t>2021</w:t>
            </w:r>
            <w:r>
              <w:rPr>
                <w:rFonts w:hint="eastAsia" w:ascii="宋体" w:hAnsi="宋体" w:eastAsia="宋体"/>
                <w:szCs w:val="21"/>
              </w:rPr>
              <w:t>年部门联合抽查任务数占双随机任务总数达</w:t>
            </w:r>
            <w:r>
              <w:rPr>
                <w:rFonts w:ascii="宋体" w:hAnsi="宋体" w:eastAsia="宋体"/>
                <w:szCs w:val="21"/>
              </w:rPr>
              <w:t>25%</w:t>
            </w:r>
            <w:r>
              <w:rPr>
                <w:rFonts w:hint="eastAsia" w:ascii="宋体" w:hAnsi="宋体" w:eastAsia="宋体"/>
                <w:szCs w:val="21"/>
              </w:rPr>
              <w:t>以上，应用信用风险分类管理任务占双随机任务总数不低于</w:t>
            </w:r>
            <w:r>
              <w:rPr>
                <w:rFonts w:ascii="宋体" w:hAnsi="宋体" w:eastAsia="宋体"/>
                <w:szCs w:val="21"/>
              </w:rPr>
              <w:t>30%</w:t>
            </w:r>
            <w:r>
              <w:rPr>
                <w:rFonts w:hint="eastAsia" w:ascii="宋体" w:hAnsi="宋体" w:eastAsia="宋体"/>
                <w:szCs w:val="21"/>
              </w:rPr>
              <w:t>。推广应用“互联网</w:t>
            </w:r>
            <w:r>
              <w:rPr>
                <w:rFonts w:ascii="宋体" w:hAnsi="宋体" w:eastAsia="宋体"/>
                <w:szCs w:val="21"/>
              </w:rPr>
              <w:t>+</w:t>
            </w:r>
            <w:r>
              <w:rPr>
                <w:rFonts w:hint="eastAsia" w:ascii="宋体" w:hAnsi="宋体" w:eastAsia="宋体"/>
                <w:szCs w:val="21"/>
              </w:rPr>
              <w:t>监管”系统，加强风险跟踪预警，实现风险预警线索</w:t>
            </w:r>
            <w:r>
              <w:rPr>
                <w:rFonts w:ascii="宋体" w:hAnsi="宋体" w:eastAsia="宋体"/>
                <w:szCs w:val="21"/>
              </w:rPr>
              <w:t>100%</w:t>
            </w:r>
            <w:r>
              <w:rPr>
                <w:rFonts w:hint="eastAsia" w:ascii="宋体" w:hAnsi="宋体" w:eastAsia="宋体"/>
                <w:szCs w:val="21"/>
              </w:rPr>
              <w:t>处置。</w:t>
            </w:r>
          </w:p>
        </w:tc>
        <w:tc>
          <w:tcPr>
            <w:tcW w:w="1559"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城管行政执法支队</w:t>
            </w:r>
          </w:p>
        </w:tc>
        <w:tc>
          <w:tcPr>
            <w:tcW w:w="15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机关各科室</w:t>
            </w:r>
          </w:p>
          <w:p>
            <w:pPr>
              <w:spacing w:line="280" w:lineRule="exact"/>
              <w:jc w:val="center"/>
              <w:rPr>
                <w:rFonts w:ascii="宋体" w:hAnsi="宋体" w:eastAsia="宋体"/>
                <w:szCs w:val="21"/>
              </w:rPr>
            </w:pPr>
            <w:r>
              <w:rPr>
                <w:rFonts w:hint="eastAsia" w:ascii="宋体" w:hAnsi="宋体" w:eastAsia="宋体"/>
                <w:szCs w:val="21"/>
              </w:rPr>
              <w:t>局属各单位</w:t>
            </w:r>
          </w:p>
        </w:tc>
        <w:tc>
          <w:tcPr>
            <w:tcW w:w="116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叶少勇</w:t>
            </w:r>
          </w:p>
        </w:tc>
        <w:tc>
          <w:tcPr>
            <w:tcW w:w="99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宋体" w:hAnsi="宋体" w:eastAsia="宋体"/>
                <w:szCs w:val="21"/>
              </w:rPr>
            </w:pPr>
            <w:r>
              <w:rPr>
                <w:rFonts w:hint="eastAsia" w:ascii="宋体" w:hAnsi="宋体" w:eastAsia="宋体"/>
                <w:szCs w:val="21"/>
              </w:rPr>
              <w:t>张劲</w:t>
            </w:r>
          </w:p>
        </w:tc>
      </w:tr>
    </w:tbl>
    <w:p>
      <w:r>
        <w:br w:type="page"/>
      </w:r>
    </w:p>
    <w:tbl>
      <w:tblPr>
        <w:tblStyle w:val="3"/>
        <w:tblW w:w="14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7488"/>
        <w:gridCol w:w="1704"/>
        <w:gridCol w:w="1704"/>
        <w:gridCol w:w="116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9" w:type="dxa"/>
            <w:gridSpan w:val="2"/>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工</w:t>
            </w:r>
            <w:r>
              <w:rPr>
                <w:rFonts w:ascii="宋体" w:hAnsi="宋体" w:eastAsia="宋体"/>
                <w:b/>
                <w:bCs/>
                <w:szCs w:val="21"/>
              </w:rPr>
              <w:t> </w:t>
            </w:r>
            <w:r>
              <w:rPr>
                <w:rFonts w:hint="eastAsia" w:ascii="宋体" w:hAnsi="宋体" w:eastAsia="宋体"/>
                <w:b/>
                <w:bCs/>
                <w:szCs w:val="21"/>
              </w:rPr>
              <w:t>作</w:t>
            </w:r>
            <w:r>
              <w:rPr>
                <w:rFonts w:ascii="宋体" w:hAnsi="宋体" w:eastAsia="宋体"/>
                <w:b/>
                <w:bCs/>
                <w:szCs w:val="21"/>
              </w:rPr>
              <w:t> </w:t>
            </w:r>
            <w:r>
              <w:rPr>
                <w:rFonts w:hint="eastAsia" w:ascii="宋体" w:hAnsi="宋体" w:eastAsia="宋体"/>
                <w:b/>
                <w:bCs/>
                <w:szCs w:val="21"/>
              </w:rPr>
              <w:t>任</w:t>
            </w:r>
            <w:r>
              <w:rPr>
                <w:rFonts w:ascii="宋体" w:hAnsi="宋体" w:eastAsia="宋体"/>
                <w:b/>
                <w:bCs/>
                <w:szCs w:val="21"/>
              </w:rPr>
              <w:t> </w:t>
            </w:r>
            <w:r>
              <w:rPr>
                <w:rFonts w:hint="eastAsia" w:ascii="宋体" w:hAnsi="宋体" w:eastAsia="宋体"/>
                <w:b/>
                <w:bCs/>
                <w:szCs w:val="21"/>
              </w:rPr>
              <w:t>务</w:t>
            </w:r>
          </w:p>
        </w:tc>
        <w:tc>
          <w:tcPr>
            <w:tcW w:w="1704"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牵头单位</w:t>
            </w:r>
          </w:p>
        </w:tc>
        <w:tc>
          <w:tcPr>
            <w:tcW w:w="1704"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协同单位</w:t>
            </w:r>
          </w:p>
        </w:tc>
        <w:tc>
          <w:tcPr>
            <w:tcW w:w="1162"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责任领导</w:t>
            </w:r>
          </w:p>
        </w:tc>
        <w:tc>
          <w:tcPr>
            <w:tcW w:w="992"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01" w:type="dxa"/>
            <w:vMerge w:val="restart"/>
            <w:noWrap w:val="0"/>
            <w:vAlign w:val="center"/>
          </w:tcPr>
          <w:p>
            <w:pPr>
              <w:pStyle w:val="6"/>
              <w:spacing w:line="320" w:lineRule="exact"/>
              <w:ind w:firstLine="0" w:firstLineChars="0"/>
              <w:rPr>
                <w:rFonts w:ascii="宋体" w:hAnsi="宋体" w:eastAsia="宋体"/>
                <w:szCs w:val="21"/>
              </w:rPr>
            </w:pPr>
            <w:r>
              <w:rPr>
                <w:rFonts w:hint="eastAsia" w:ascii="宋体" w:hAnsi="宋体" w:eastAsia="宋体"/>
                <w:szCs w:val="21"/>
              </w:rPr>
              <w:t>三、深化智慧政务、着力提升服务效能。</w:t>
            </w:r>
          </w:p>
        </w:tc>
        <w:tc>
          <w:tcPr>
            <w:tcW w:w="7488" w:type="dxa"/>
            <w:noWrap w:val="0"/>
            <w:vAlign w:val="center"/>
          </w:tcPr>
          <w:p>
            <w:pPr>
              <w:pStyle w:val="6"/>
              <w:spacing w:line="320" w:lineRule="exact"/>
              <w:ind w:firstLine="0" w:firstLineChars="0"/>
              <w:rPr>
                <w:rFonts w:ascii="宋体" w:hAnsi="宋体" w:eastAsia="宋体"/>
                <w:szCs w:val="21"/>
              </w:rPr>
            </w:pPr>
            <w:r>
              <w:rPr>
                <w:rFonts w:hint="eastAsia" w:ascii="宋体" w:hAnsi="宋体" w:eastAsia="宋体"/>
                <w:szCs w:val="21"/>
              </w:rPr>
              <w:t>（六）拓展“一网通办”服务功能。依托“皖事通办”平台，从企业和群众“办成一件事”角度出发，推进更多“一件事一次办”，“合成办”。持续深化企业群众办事“最多跑一次”和“一次不用跑”。</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行政审批窗口</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孙旭进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0" w:type="auto"/>
            <w:vMerge w:val="continue"/>
            <w:noWrap w:val="0"/>
            <w:vAlign w:val="center"/>
          </w:tcPr>
          <w:p>
            <w:pPr>
              <w:widowControl/>
              <w:spacing w:line="320" w:lineRule="exact"/>
              <w:jc w:val="left"/>
              <w:rPr>
                <w:rFonts w:ascii="宋体" w:hAnsi="宋体" w:eastAsia="宋体"/>
                <w:szCs w:val="21"/>
              </w:rPr>
            </w:pPr>
          </w:p>
        </w:tc>
        <w:tc>
          <w:tcPr>
            <w:tcW w:w="7488" w:type="dxa"/>
            <w:noWrap w:val="0"/>
            <w:vAlign w:val="center"/>
          </w:tcPr>
          <w:p>
            <w:pPr>
              <w:pStyle w:val="6"/>
              <w:spacing w:line="320" w:lineRule="exact"/>
              <w:ind w:firstLine="0" w:firstLineChars="0"/>
              <w:rPr>
                <w:rFonts w:ascii="宋体" w:hAnsi="宋体" w:eastAsia="宋体"/>
                <w:szCs w:val="21"/>
              </w:rPr>
            </w:pPr>
            <w:r>
              <w:rPr>
                <w:rFonts w:hint="eastAsia" w:ascii="宋体" w:hAnsi="宋体" w:eastAsia="宋体"/>
                <w:szCs w:val="21"/>
              </w:rPr>
              <w:t>（七）提升政务服务事项标准化。依托网上政务服务平台，动态推进权责清单、政务服务目录清单、标准化清单、实施清单的调整、认领、编制、发布、确保线上线下标准统一。</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行政审批窗口</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孙旭进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noWrap w:val="0"/>
            <w:vAlign w:val="center"/>
          </w:tcPr>
          <w:p>
            <w:pPr>
              <w:widowControl/>
              <w:spacing w:line="320" w:lineRule="exact"/>
              <w:jc w:val="left"/>
              <w:rPr>
                <w:rFonts w:ascii="宋体" w:hAnsi="宋体" w:eastAsia="宋体"/>
                <w:szCs w:val="21"/>
              </w:rPr>
            </w:pPr>
          </w:p>
        </w:tc>
        <w:tc>
          <w:tcPr>
            <w:tcW w:w="7488" w:type="dxa"/>
            <w:noWrap w:val="0"/>
            <w:vAlign w:val="center"/>
          </w:tcPr>
          <w:p>
            <w:pPr>
              <w:pStyle w:val="6"/>
              <w:spacing w:line="320" w:lineRule="exact"/>
              <w:ind w:firstLine="0" w:firstLineChars="0"/>
              <w:rPr>
                <w:rFonts w:ascii="宋体" w:hAnsi="宋体" w:eastAsia="宋体"/>
                <w:szCs w:val="21"/>
              </w:rPr>
            </w:pPr>
            <w:r>
              <w:rPr>
                <w:rFonts w:hint="eastAsia" w:ascii="宋体" w:hAnsi="宋体" w:eastAsia="宋体"/>
                <w:szCs w:val="21"/>
              </w:rPr>
              <w:t>（八）加快“四电”应用。推动电子证照、电子材料、电子印章、电子签名应用。持续归集各类高频电子证照，做到应归集尽归集。提升电子印章、电子签名在法人、自然人办理各类政务服务事项中的应用度。</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行政审批窗口</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孙旭进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0" w:type="auto"/>
            <w:vMerge w:val="continue"/>
            <w:noWrap w:val="0"/>
            <w:vAlign w:val="center"/>
          </w:tcPr>
          <w:p>
            <w:pPr>
              <w:widowControl/>
              <w:spacing w:line="320" w:lineRule="exact"/>
              <w:jc w:val="left"/>
              <w:rPr>
                <w:rFonts w:ascii="宋体" w:hAnsi="宋体" w:eastAsia="宋体"/>
                <w:szCs w:val="21"/>
              </w:rPr>
            </w:pPr>
          </w:p>
        </w:tc>
        <w:tc>
          <w:tcPr>
            <w:tcW w:w="7488" w:type="dxa"/>
            <w:noWrap w:val="0"/>
            <w:vAlign w:val="center"/>
          </w:tcPr>
          <w:p>
            <w:pPr>
              <w:pStyle w:val="6"/>
              <w:spacing w:line="320" w:lineRule="exact"/>
              <w:ind w:firstLine="0" w:firstLineChars="0"/>
              <w:rPr>
                <w:rFonts w:ascii="宋体" w:hAnsi="宋体" w:eastAsia="宋体"/>
                <w:szCs w:val="21"/>
              </w:rPr>
            </w:pPr>
            <w:r>
              <w:rPr>
                <w:rFonts w:hint="eastAsia" w:ascii="宋体" w:hAnsi="宋体" w:eastAsia="宋体"/>
                <w:szCs w:val="21"/>
              </w:rPr>
              <w:t>（九）建立健全中介服务平台。配合市发改委制定《六安市中介超市管理办法》，制定针对本行业的中介结构入住标准和管理规范，推进符合条件的企业加快入库。</w:t>
            </w:r>
          </w:p>
        </w:tc>
        <w:tc>
          <w:tcPr>
            <w:tcW w:w="1704" w:type="dxa"/>
            <w:noWrap w:val="0"/>
            <w:vAlign w:val="center"/>
          </w:tcPr>
          <w:p>
            <w:pPr>
              <w:spacing w:line="320" w:lineRule="exact"/>
              <w:jc w:val="center"/>
              <w:rPr>
                <w:rFonts w:hint="eastAsia" w:ascii="宋体" w:hAnsi="宋体" w:eastAsia="宋体"/>
                <w:szCs w:val="21"/>
              </w:rPr>
            </w:pPr>
            <w:r>
              <w:rPr>
                <w:rFonts w:hint="eastAsia" w:ascii="宋体" w:hAnsi="宋体" w:eastAsia="宋体"/>
                <w:szCs w:val="21"/>
              </w:rPr>
              <w:t>市政公用事业</w:t>
            </w:r>
          </w:p>
          <w:p>
            <w:pPr>
              <w:spacing w:line="320" w:lineRule="exact"/>
              <w:jc w:val="center"/>
              <w:rPr>
                <w:rFonts w:ascii="宋体" w:hAnsi="宋体" w:eastAsia="宋体"/>
                <w:szCs w:val="21"/>
              </w:rPr>
            </w:pPr>
            <w:r>
              <w:rPr>
                <w:rFonts w:hint="eastAsia" w:ascii="宋体" w:hAnsi="宋体" w:eastAsia="宋体"/>
                <w:szCs w:val="21"/>
              </w:rPr>
              <w:t>管理科</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钱锟</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汤祥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01" w:type="dxa"/>
            <w:vMerge w:val="restart"/>
            <w:noWrap w:val="0"/>
            <w:vAlign w:val="center"/>
          </w:tcPr>
          <w:p>
            <w:pPr>
              <w:spacing w:line="320" w:lineRule="exact"/>
              <w:rPr>
                <w:rFonts w:ascii="宋体" w:hAnsi="宋体" w:eastAsia="宋体"/>
                <w:szCs w:val="21"/>
              </w:rPr>
            </w:pPr>
            <w:r>
              <w:rPr>
                <w:rFonts w:hint="eastAsia" w:ascii="宋体" w:hAnsi="宋体" w:eastAsia="宋体"/>
                <w:szCs w:val="21"/>
              </w:rPr>
              <w:t>四、深化供给保障，服出便利服出实惠。</w:t>
            </w:r>
          </w:p>
        </w:tc>
        <w:tc>
          <w:tcPr>
            <w:tcW w:w="7488" w:type="dxa"/>
            <w:noWrap w:val="0"/>
            <w:vAlign w:val="center"/>
          </w:tcPr>
          <w:p>
            <w:pPr>
              <w:spacing w:line="320" w:lineRule="exact"/>
              <w:rPr>
                <w:rFonts w:ascii="宋体" w:hAnsi="宋体" w:eastAsia="宋体"/>
                <w:szCs w:val="21"/>
              </w:rPr>
            </w:pPr>
            <w:r>
              <w:rPr>
                <w:rFonts w:hint="eastAsia" w:ascii="宋体" w:hAnsi="宋体" w:eastAsia="宋体"/>
                <w:szCs w:val="21"/>
              </w:rPr>
              <w:t>（十）优化水气公用事业服务报装。无外线工程、有外线工程水气接入服务时间分别不超过</w:t>
            </w:r>
            <w:r>
              <w:rPr>
                <w:rFonts w:ascii="宋体" w:hAnsi="宋体" w:eastAsia="宋体"/>
                <w:szCs w:val="21"/>
              </w:rPr>
              <w:t>2</w:t>
            </w:r>
            <w:r>
              <w:rPr>
                <w:rFonts w:hint="eastAsia" w:ascii="宋体" w:hAnsi="宋体" w:eastAsia="宋体"/>
                <w:szCs w:val="21"/>
              </w:rPr>
              <w:t>个工作日、</w:t>
            </w:r>
            <w:r>
              <w:rPr>
                <w:rFonts w:ascii="宋体" w:hAnsi="宋体" w:eastAsia="宋体"/>
                <w:szCs w:val="21"/>
              </w:rPr>
              <w:t>9</w:t>
            </w:r>
            <w:r>
              <w:rPr>
                <w:rFonts w:hint="eastAsia" w:ascii="宋体" w:hAnsi="宋体" w:eastAsia="宋体"/>
                <w:szCs w:val="21"/>
              </w:rPr>
              <w:t>个工作日。积极贯彻落实《关于进一步简化市政公用服务（供排水、电力、燃气）接入工程行政审批实施办法（试行）》（六营商办</w:t>
            </w:r>
            <w:r>
              <w:rPr>
                <w:rFonts w:ascii="宋体" w:hAnsi="宋体" w:eastAsia="宋体"/>
                <w:szCs w:val="21"/>
              </w:rPr>
              <w:t>[2020]22</w:t>
            </w:r>
            <w:r>
              <w:rPr>
                <w:rFonts w:hint="eastAsia" w:ascii="宋体" w:hAnsi="宋体" w:eastAsia="宋体"/>
                <w:szCs w:val="21"/>
              </w:rPr>
              <w:t>号）精神，全面推行外线连接工程行政审批代办制。</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行政审批窗口</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孙旭进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0" w:type="auto"/>
            <w:vMerge w:val="continue"/>
            <w:noWrap w:val="0"/>
            <w:vAlign w:val="center"/>
          </w:tcPr>
          <w:p>
            <w:pPr>
              <w:widowControl/>
              <w:spacing w:line="320" w:lineRule="exact"/>
              <w:jc w:val="left"/>
              <w:rPr>
                <w:rFonts w:ascii="宋体" w:hAnsi="宋体" w:eastAsia="宋体"/>
                <w:szCs w:val="21"/>
              </w:rPr>
            </w:pPr>
          </w:p>
        </w:tc>
        <w:tc>
          <w:tcPr>
            <w:tcW w:w="7488" w:type="dxa"/>
            <w:noWrap w:val="0"/>
            <w:vAlign w:val="center"/>
          </w:tcPr>
          <w:p>
            <w:pPr>
              <w:spacing w:line="320" w:lineRule="exact"/>
              <w:rPr>
                <w:rFonts w:ascii="宋体" w:hAnsi="宋体" w:eastAsia="宋体"/>
                <w:szCs w:val="21"/>
              </w:rPr>
            </w:pPr>
            <w:r>
              <w:rPr>
                <w:rFonts w:hint="eastAsia" w:ascii="宋体" w:hAnsi="宋体" w:eastAsia="宋体"/>
                <w:szCs w:val="21"/>
              </w:rPr>
              <w:t>（十一）贯彻落实《关于进一步简化市政公用服务（供排水、电力、燃气）接入工程行政审批实施办法（试行）》（六营商办</w:t>
            </w:r>
            <w:r>
              <w:rPr>
                <w:rFonts w:ascii="宋体" w:hAnsi="宋体" w:eastAsia="宋体"/>
                <w:szCs w:val="21"/>
              </w:rPr>
              <w:t>[2020]22</w:t>
            </w:r>
            <w:r>
              <w:rPr>
                <w:rFonts w:hint="eastAsia" w:ascii="宋体" w:hAnsi="宋体" w:eastAsia="宋体"/>
                <w:szCs w:val="21"/>
              </w:rPr>
              <w:t>号）。实行外线连接工程有关审批“一家牵头、并联办理”，“承诺即开工”，全面推行外线连接工程行政审批代办制。全力将“简化市政公用服务（供排水、电力、燃气）接入工程行政审批”工作打造为“皋”“城”品牌。</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行政审批窗口</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孙旭进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薛波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0" w:type="auto"/>
            <w:vMerge w:val="continue"/>
            <w:noWrap w:val="0"/>
            <w:vAlign w:val="center"/>
          </w:tcPr>
          <w:p>
            <w:pPr>
              <w:widowControl/>
              <w:spacing w:line="320" w:lineRule="exact"/>
              <w:jc w:val="left"/>
              <w:rPr>
                <w:rFonts w:ascii="宋体" w:hAnsi="宋体" w:eastAsia="宋体"/>
                <w:szCs w:val="21"/>
              </w:rPr>
            </w:pPr>
          </w:p>
        </w:tc>
        <w:tc>
          <w:tcPr>
            <w:tcW w:w="7488" w:type="dxa"/>
            <w:noWrap w:val="0"/>
            <w:vAlign w:val="center"/>
          </w:tcPr>
          <w:p>
            <w:pPr>
              <w:spacing w:line="320" w:lineRule="exact"/>
              <w:rPr>
                <w:rFonts w:ascii="宋体" w:hAnsi="宋体" w:eastAsia="宋体"/>
                <w:szCs w:val="21"/>
              </w:rPr>
            </w:pPr>
            <w:r>
              <w:rPr>
                <w:rFonts w:hint="eastAsia" w:ascii="宋体" w:hAnsi="宋体" w:eastAsia="宋体"/>
                <w:szCs w:val="21"/>
              </w:rPr>
              <w:t>（十二）加快工程建设项目审批制度改革。按照六安市工程建设项目审批制度改革领导小组办公室印发《六安市工程建设项目审批制度改革</w:t>
            </w:r>
            <w:r>
              <w:rPr>
                <w:rFonts w:ascii="宋体" w:hAnsi="宋体" w:eastAsia="宋体"/>
                <w:szCs w:val="21"/>
              </w:rPr>
              <w:t>2021</w:t>
            </w:r>
            <w:r>
              <w:rPr>
                <w:rFonts w:hint="eastAsia" w:ascii="宋体" w:hAnsi="宋体" w:eastAsia="宋体"/>
                <w:szCs w:val="21"/>
              </w:rPr>
              <w:t>年重点任务清单》（六建审改办</w:t>
            </w:r>
            <w:r>
              <w:rPr>
                <w:rFonts w:ascii="宋体" w:hAnsi="宋体" w:eastAsia="宋体"/>
                <w:szCs w:val="21"/>
              </w:rPr>
              <w:t>[2021]3</w:t>
            </w:r>
            <w:r>
              <w:rPr>
                <w:rFonts w:hint="eastAsia" w:ascii="宋体" w:hAnsi="宋体" w:eastAsia="宋体"/>
                <w:szCs w:val="21"/>
              </w:rPr>
              <w:t>号），予以落实完善。</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规划监督科</w:t>
            </w:r>
          </w:p>
        </w:tc>
        <w:tc>
          <w:tcPr>
            <w:tcW w:w="1704" w:type="dxa"/>
            <w:noWrap w:val="0"/>
            <w:vAlign w:val="center"/>
          </w:tcPr>
          <w:p>
            <w:pPr>
              <w:spacing w:line="320" w:lineRule="exact"/>
              <w:jc w:val="center"/>
              <w:rPr>
                <w:rFonts w:ascii="宋体" w:hAnsi="宋体" w:eastAsia="宋体"/>
                <w:szCs w:val="21"/>
              </w:rPr>
            </w:pPr>
            <w:r>
              <w:rPr>
                <w:rFonts w:hint="eastAsia" w:ascii="宋体" w:hAnsi="宋体" w:eastAsia="宋体"/>
                <w:szCs w:val="21"/>
              </w:rPr>
              <w:t>机关各科室</w:t>
            </w:r>
          </w:p>
          <w:p>
            <w:pPr>
              <w:spacing w:line="32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320" w:lineRule="exact"/>
              <w:jc w:val="center"/>
              <w:rPr>
                <w:rFonts w:ascii="宋体" w:hAnsi="宋体" w:eastAsia="宋体"/>
                <w:szCs w:val="21"/>
              </w:rPr>
            </w:pPr>
            <w:r>
              <w:rPr>
                <w:rFonts w:hint="eastAsia" w:ascii="宋体" w:hAnsi="宋体" w:eastAsia="宋体"/>
                <w:szCs w:val="21"/>
              </w:rPr>
              <w:t>杜继军</w:t>
            </w:r>
          </w:p>
        </w:tc>
        <w:tc>
          <w:tcPr>
            <w:tcW w:w="992" w:type="dxa"/>
            <w:noWrap w:val="0"/>
            <w:vAlign w:val="center"/>
          </w:tcPr>
          <w:p>
            <w:pPr>
              <w:spacing w:line="320" w:lineRule="exact"/>
              <w:jc w:val="center"/>
              <w:rPr>
                <w:rFonts w:ascii="宋体" w:hAnsi="宋体" w:eastAsia="宋体"/>
                <w:szCs w:val="21"/>
              </w:rPr>
            </w:pPr>
            <w:r>
              <w:rPr>
                <w:rFonts w:hint="eastAsia" w:ascii="宋体" w:hAnsi="宋体" w:eastAsia="宋体"/>
                <w:szCs w:val="21"/>
              </w:rPr>
              <w:t>杨盼盼</w:t>
            </w:r>
          </w:p>
        </w:tc>
      </w:tr>
    </w:tbl>
    <w:p>
      <w:r>
        <w:br w:type="page"/>
      </w:r>
    </w:p>
    <w:tbl>
      <w:tblPr>
        <w:tblStyle w:val="3"/>
        <w:tblW w:w="14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7488"/>
        <w:gridCol w:w="1704"/>
        <w:gridCol w:w="1704"/>
        <w:gridCol w:w="116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789" w:type="dxa"/>
            <w:gridSpan w:val="2"/>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工</w:t>
            </w:r>
            <w:r>
              <w:rPr>
                <w:rFonts w:ascii="宋体" w:hAnsi="宋体" w:eastAsia="宋体"/>
                <w:b/>
                <w:bCs/>
                <w:szCs w:val="21"/>
              </w:rPr>
              <w:t> </w:t>
            </w:r>
            <w:r>
              <w:rPr>
                <w:rFonts w:hint="eastAsia" w:ascii="宋体" w:hAnsi="宋体" w:eastAsia="宋体"/>
                <w:b/>
                <w:bCs/>
                <w:szCs w:val="21"/>
              </w:rPr>
              <w:t>作</w:t>
            </w:r>
            <w:r>
              <w:rPr>
                <w:rFonts w:ascii="宋体" w:hAnsi="宋体" w:eastAsia="宋体"/>
                <w:b/>
                <w:bCs/>
                <w:szCs w:val="21"/>
              </w:rPr>
              <w:t> </w:t>
            </w:r>
            <w:r>
              <w:rPr>
                <w:rFonts w:hint="eastAsia" w:ascii="宋体" w:hAnsi="宋体" w:eastAsia="宋体"/>
                <w:b/>
                <w:bCs/>
                <w:szCs w:val="21"/>
              </w:rPr>
              <w:t>任</w:t>
            </w:r>
            <w:r>
              <w:rPr>
                <w:rFonts w:ascii="宋体" w:hAnsi="宋体" w:eastAsia="宋体"/>
                <w:b/>
                <w:bCs/>
                <w:szCs w:val="21"/>
              </w:rPr>
              <w:t> </w:t>
            </w:r>
            <w:r>
              <w:rPr>
                <w:rFonts w:hint="eastAsia" w:ascii="宋体" w:hAnsi="宋体" w:eastAsia="宋体"/>
                <w:b/>
                <w:bCs/>
                <w:szCs w:val="21"/>
              </w:rPr>
              <w:t>务</w:t>
            </w:r>
          </w:p>
        </w:tc>
        <w:tc>
          <w:tcPr>
            <w:tcW w:w="1704"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牵头单位</w:t>
            </w:r>
          </w:p>
        </w:tc>
        <w:tc>
          <w:tcPr>
            <w:tcW w:w="1704"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协同单位</w:t>
            </w:r>
          </w:p>
        </w:tc>
        <w:tc>
          <w:tcPr>
            <w:tcW w:w="1162"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责任领导</w:t>
            </w:r>
          </w:p>
        </w:tc>
        <w:tc>
          <w:tcPr>
            <w:tcW w:w="992" w:type="dxa"/>
            <w:noWrap w:val="0"/>
            <w:vAlign w:val="center"/>
          </w:tcPr>
          <w:p>
            <w:pPr>
              <w:spacing w:line="280" w:lineRule="exact"/>
              <w:jc w:val="center"/>
              <w:rPr>
                <w:rFonts w:ascii="宋体" w:hAnsi="宋体" w:eastAsia="宋体"/>
                <w:b/>
                <w:bCs/>
                <w:szCs w:val="21"/>
              </w:rPr>
            </w:pPr>
            <w:r>
              <w:rPr>
                <w:rFonts w:hint="eastAsia" w:ascii="宋体" w:hAnsi="宋体" w:eastAsia="宋体"/>
                <w:b/>
                <w:bCs/>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301" w:type="dxa"/>
            <w:vMerge w:val="restart"/>
            <w:noWrap w:val="0"/>
            <w:vAlign w:val="center"/>
          </w:tcPr>
          <w:p>
            <w:pPr>
              <w:pStyle w:val="6"/>
              <w:spacing w:line="400" w:lineRule="exact"/>
              <w:ind w:firstLine="0" w:firstLineChars="0"/>
              <w:rPr>
                <w:rFonts w:ascii="宋体" w:hAnsi="宋体" w:eastAsia="宋体"/>
                <w:szCs w:val="21"/>
              </w:rPr>
            </w:pPr>
            <w:r>
              <w:rPr>
                <w:rFonts w:hint="eastAsia" w:ascii="宋体" w:hAnsi="宋体" w:eastAsia="宋体"/>
                <w:szCs w:val="21"/>
              </w:rPr>
              <w:t>五、调动各方力量，凝聚形成工作合力。</w:t>
            </w:r>
          </w:p>
        </w:tc>
        <w:tc>
          <w:tcPr>
            <w:tcW w:w="7488" w:type="dxa"/>
            <w:noWrap w:val="0"/>
            <w:vAlign w:val="center"/>
          </w:tcPr>
          <w:p>
            <w:pPr>
              <w:pStyle w:val="6"/>
              <w:spacing w:line="400" w:lineRule="exact"/>
              <w:ind w:firstLine="0" w:firstLineChars="0"/>
              <w:rPr>
                <w:rFonts w:ascii="宋体" w:hAnsi="宋体" w:eastAsia="宋体"/>
                <w:spacing w:val="-4"/>
                <w:szCs w:val="21"/>
              </w:rPr>
            </w:pPr>
            <w:r>
              <w:rPr>
                <w:rFonts w:hint="eastAsia" w:ascii="宋体" w:hAnsi="宋体" w:eastAsia="宋体"/>
                <w:spacing w:val="-4"/>
                <w:szCs w:val="21"/>
              </w:rPr>
              <w:t>（十三）推深做实“四送一服”行动。常态化开展上门服务，面对面了解企业家的心声和诉求，对涉及我局问题，要积极主动帮办解决，其他重难点问题予以协同办理。依托“四送一服”综合服务平台等渠道倾听和收集企业意见建议、强化联系机制，及时回应企业诉求，确保事事有着落。</w:t>
            </w:r>
          </w:p>
        </w:tc>
        <w:tc>
          <w:tcPr>
            <w:tcW w:w="1704" w:type="dxa"/>
            <w:noWrap w:val="0"/>
            <w:vAlign w:val="center"/>
          </w:tcPr>
          <w:p>
            <w:pPr>
              <w:spacing w:line="400" w:lineRule="exact"/>
              <w:jc w:val="center"/>
              <w:rPr>
                <w:rFonts w:ascii="宋体" w:hAnsi="宋体" w:eastAsia="宋体"/>
                <w:szCs w:val="21"/>
              </w:rPr>
            </w:pPr>
            <w:r>
              <w:rPr>
                <w:rFonts w:hint="eastAsia" w:ascii="宋体" w:hAnsi="宋体" w:eastAsia="宋体"/>
                <w:szCs w:val="21"/>
              </w:rPr>
              <w:t>法制科</w:t>
            </w:r>
          </w:p>
        </w:tc>
        <w:tc>
          <w:tcPr>
            <w:tcW w:w="1704" w:type="dxa"/>
            <w:noWrap w:val="0"/>
            <w:vAlign w:val="center"/>
          </w:tcPr>
          <w:p>
            <w:pPr>
              <w:spacing w:line="400" w:lineRule="exact"/>
              <w:jc w:val="center"/>
              <w:rPr>
                <w:rFonts w:ascii="宋体" w:hAnsi="宋体" w:eastAsia="宋体"/>
                <w:szCs w:val="21"/>
              </w:rPr>
            </w:pPr>
            <w:r>
              <w:rPr>
                <w:rFonts w:hint="eastAsia" w:ascii="宋体" w:hAnsi="宋体" w:eastAsia="宋体"/>
                <w:szCs w:val="21"/>
              </w:rPr>
              <w:t>机关各科室</w:t>
            </w:r>
          </w:p>
          <w:p>
            <w:pPr>
              <w:spacing w:line="40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400" w:lineRule="exact"/>
              <w:jc w:val="center"/>
              <w:rPr>
                <w:rFonts w:ascii="宋体" w:hAnsi="宋体" w:eastAsia="宋体"/>
                <w:szCs w:val="21"/>
              </w:rPr>
            </w:pPr>
            <w:r>
              <w:rPr>
                <w:rFonts w:hint="eastAsia" w:ascii="宋体" w:hAnsi="宋体" w:eastAsia="宋体"/>
                <w:szCs w:val="21"/>
              </w:rPr>
              <w:t>杜继军</w:t>
            </w:r>
          </w:p>
        </w:tc>
        <w:tc>
          <w:tcPr>
            <w:tcW w:w="992" w:type="dxa"/>
            <w:noWrap w:val="0"/>
            <w:vAlign w:val="center"/>
          </w:tcPr>
          <w:p>
            <w:pPr>
              <w:spacing w:line="400" w:lineRule="exact"/>
              <w:jc w:val="center"/>
              <w:rPr>
                <w:rFonts w:ascii="宋体" w:hAnsi="宋体" w:eastAsia="宋体"/>
                <w:szCs w:val="21"/>
              </w:rPr>
            </w:pPr>
            <w:r>
              <w:rPr>
                <w:rFonts w:hint="eastAsia" w:ascii="宋体" w:hAnsi="宋体" w:eastAsia="宋体"/>
                <w:szCs w:val="21"/>
              </w:rPr>
              <w:t>刘剑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0" w:type="auto"/>
            <w:vMerge w:val="continue"/>
            <w:noWrap w:val="0"/>
            <w:vAlign w:val="center"/>
          </w:tcPr>
          <w:p>
            <w:pPr>
              <w:widowControl/>
              <w:spacing w:line="400" w:lineRule="exact"/>
              <w:jc w:val="left"/>
              <w:rPr>
                <w:rFonts w:ascii="宋体" w:hAnsi="宋体" w:eastAsia="宋体"/>
                <w:szCs w:val="21"/>
              </w:rPr>
            </w:pPr>
          </w:p>
        </w:tc>
        <w:tc>
          <w:tcPr>
            <w:tcW w:w="7488" w:type="dxa"/>
            <w:noWrap w:val="0"/>
            <w:vAlign w:val="center"/>
          </w:tcPr>
          <w:p>
            <w:pPr>
              <w:pStyle w:val="6"/>
              <w:spacing w:line="400" w:lineRule="exact"/>
              <w:ind w:firstLine="0" w:firstLineChars="0"/>
              <w:rPr>
                <w:rFonts w:ascii="宋体" w:hAnsi="宋体" w:eastAsia="宋体"/>
                <w:spacing w:val="-4"/>
                <w:szCs w:val="21"/>
              </w:rPr>
            </w:pPr>
            <w:r>
              <w:rPr>
                <w:rFonts w:hint="eastAsia" w:ascii="宋体" w:hAnsi="宋体" w:eastAsia="宋体"/>
                <w:spacing w:val="-4"/>
                <w:szCs w:val="21"/>
              </w:rPr>
              <w:t>（十四）优化政务服务便民热线。</w:t>
            </w:r>
            <w:r>
              <w:rPr>
                <w:rFonts w:ascii="宋体" w:hAnsi="宋体" w:eastAsia="宋体"/>
                <w:spacing w:val="-4"/>
                <w:szCs w:val="21"/>
              </w:rPr>
              <w:t>2021</w:t>
            </w:r>
            <w:r>
              <w:rPr>
                <w:rFonts w:hint="eastAsia" w:ascii="宋体" w:hAnsi="宋体" w:eastAsia="宋体"/>
                <w:spacing w:val="-4"/>
                <w:szCs w:val="21"/>
              </w:rPr>
              <w:t>年底前，接听的政务服务便民热线实现一个号码服务，统一为“</w:t>
            </w:r>
            <w:r>
              <w:rPr>
                <w:rFonts w:ascii="宋体" w:hAnsi="宋体" w:eastAsia="宋体"/>
                <w:spacing w:val="-4"/>
                <w:szCs w:val="21"/>
              </w:rPr>
              <w:t>12345</w:t>
            </w:r>
            <w:r>
              <w:rPr>
                <w:rFonts w:hint="eastAsia" w:ascii="宋体" w:hAnsi="宋体" w:eastAsia="宋体"/>
                <w:spacing w:val="-4"/>
                <w:szCs w:val="21"/>
              </w:rPr>
              <w:t>政务服务便民热线”，提供“</w:t>
            </w:r>
            <w:r>
              <w:rPr>
                <w:rFonts w:ascii="宋体" w:hAnsi="宋体" w:eastAsia="宋体"/>
                <w:spacing w:val="-4"/>
                <w:szCs w:val="21"/>
              </w:rPr>
              <w:t>7x24</w:t>
            </w:r>
            <w:r>
              <w:rPr>
                <w:rFonts w:hint="eastAsia" w:ascii="宋体" w:hAnsi="宋体" w:eastAsia="宋体"/>
                <w:spacing w:val="-4"/>
                <w:szCs w:val="21"/>
              </w:rPr>
              <w:t>小时”全天候人工服务。对话务量大、社会知晓度高的政务服务热线，实行双号并存，统一监督。配合建立热线工作管理体系，实行诉求分级分层办理，完善热线工作督办问责机制，实现热线受理与后台办理服务紧密衔接，打造政务服务“总客服”。</w:t>
            </w:r>
          </w:p>
        </w:tc>
        <w:tc>
          <w:tcPr>
            <w:tcW w:w="1704" w:type="dxa"/>
            <w:noWrap w:val="0"/>
            <w:vAlign w:val="center"/>
          </w:tcPr>
          <w:p>
            <w:pPr>
              <w:spacing w:line="400" w:lineRule="exact"/>
              <w:jc w:val="center"/>
              <w:rPr>
                <w:rFonts w:ascii="宋体" w:hAnsi="宋体" w:eastAsia="宋体"/>
                <w:szCs w:val="21"/>
              </w:rPr>
            </w:pPr>
            <w:r>
              <w:rPr>
                <w:rFonts w:hint="eastAsia" w:ascii="宋体" w:hAnsi="宋体" w:eastAsia="宋体"/>
                <w:szCs w:val="21"/>
              </w:rPr>
              <w:t>监督指挥中心</w:t>
            </w:r>
          </w:p>
        </w:tc>
        <w:tc>
          <w:tcPr>
            <w:tcW w:w="1704" w:type="dxa"/>
            <w:noWrap w:val="0"/>
            <w:vAlign w:val="center"/>
          </w:tcPr>
          <w:p>
            <w:pPr>
              <w:spacing w:line="400" w:lineRule="exact"/>
              <w:jc w:val="center"/>
              <w:rPr>
                <w:rFonts w:ascii="宋体" w:hAnsi="宋体" w:eastAsia="宋体"/>
                <w:szCs w:val="21"/>
              </w:rPr>
            </w:pPr>
            <w:r>
              <w:rPr>
                <w:rFonts w:hint="eastAsia" w:ascii="宋体" w:hAnsi="宋体" w:eastAsia="宋体"/>
                <w:szCs w:val="21"/>
              </w:rPr>
              <w:t>机关各科室</w:t>
            </w:r>
          </w:p>
          <w:p>
            <w:pPr>
              <w:spacing w:line="400" w:lineRule="exact"/>
              <w:jc w:val="center"/>
              <w:rPr>
                <w:rFonts w:ascii="宋体" w:hAnsi="宋体" w:eastAsia="宋体"/>
                <w:szCs w:val="21"/>
              </w:rPr>
            </w:pPr>
            <w:r>
              <w:rPr>
                <w:rFonts w:hint="eastAsia" w:ascii="宋体" w:hAnsi="宋体" w:eastAsia="宋体"/>
                <w:szCs w:val="21"/>
              </w:rPr>
              <w:t>局属各单位</w:t>
            </w:r>
          </w:p>
        </w:tc>
        <w:tc>
          <w:tcPr>
            <w:tcW w:w="1162" w:type="dxa"/>
            <w:noWrap w:val="0"/>
            <w:vAlign w:val="center"/>
          </w:tcPr>
          <w:p>
            <w:pPr>
              <w:spacing w:line="400" w:lineRule="exact"/>
              <w:jc w:val="center"/>
              <w:rPr>
                <w:rFonts w:ascii="宋体" w:hAnsi="宋体" w:eastAsia="宋体"/>
                <w:szCs w:val="21"/>
              </w:rPr>
            </w:pPr>
            <w:r>
              <w:rPr>
                <w:rFonts w:hint="eastAsia" w:ascii="宋体" w:hAnsi="宋体" w:eastAsia="宋体"/>
                <w:szCs w:val="21"/>
              </w:rPr>
              <w:t>张一鸣</w:t>
            </w:r>
          </w:p>
        </w:tc>
        <w:tc>
          <w:tcPr>
            <w:tcW w:w="992" w:type="dxa"/>
            <w:noWrap w:val="0"/>
            <w:vAlign w:val="center"/>
          </w:tcPr>
          <w:p>
            <w:pPr>
              <w:spacing w:line="400" w:lineRule="exact"/>
              <w:jc w:val="center"/>
              <w:rPr>
                <w:rFonts w:ascii="宋体" w:hAnsi="宋体" w:eastAsia="宋体"/>
                <w:szCs w:val="21"/>
              </w:rPr>
            </w:pPr>
            <w:r>
              <w:rPr>
                <w:rFonts w:hint="eastAsia" w:ascii="宋体" w:hAnsi="宋体" w:eastAsia="宋体"/>
                <w:szCs w:val="21"/>
              </w:rPr>
              <w:t>马孟传</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6309A"/>
    <w:rsid w:val="2BB6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2021-05-21T04:04:00Z</dcterms:created>
  <dc:creator>WPS_1559567255</dc:creator>
  <cp:lastModifiedBy>WPS_1559567255</cp:lastModifiedBy>
  <dcterms:modified xsi:type="dcterms:W3CDTF">2021-05-21T04:05:15Z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5C921FB12DBF474583434003691DC9E0</vt:lpwstr>
  </property>
</Properties>
</file>