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textAlignment w:val="auto"/>
        <w:rPr>
          <w:rFonts w:hint="default" w:ascii="Times New Roman" w:hAnsi="Times New Roman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textAlignment w:val="auto"/>
        <w:rPr>
          <w:rFonts w:hint="default" w:ascii="Times New Roman" w:hAnsi="Times New Roman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color w:val="000000"/>
          <w:sz w:val="44"/>
          <w:szCs w:val="44"/>
          <w:shd w:val="clear" w:color="auto" w:fill="FFFFFF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color w:val="000000"/>
          <w:sz w:val="44"/>
          <w:szCs w:val="44"/>
          <w:shd w:val="clear" w:color="auto" w:fill="FFFFFF"/>
        </w:rPr>
        <w:t>六安市人民政府关于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color w:val="000000"/>
          <w:sz w:val="44"/>
          <w:szCs w:val="44"/>
          <w:shd w:val="clear" w:color="auto" w:fill="FFFFFF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color w:val="000000"/>
          <w:sz w:val="44"/>
          <w:szCs w:val="44"/>
          <w:shd w:val="clear" w:color="auto" w:fill="FFFFFF"/>
        </w:rPr>
        <w:t>加强城市精细化管理工作的意见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jc w:val="center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六政〔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2021〕46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666666"/>
          <w:spacing w:val="0"/>
          <w:sz w:val="21"/>
          <w:szCs w:val="21"/>
          <w:shd w:val="clear" w:fill="FFFFFF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各县区人民政府，市开发区管委，市政府各部门、各直属机构：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为提升我市城市精细化管理水平，增强城市综合服务功能，推动城市高质量发展，营造安定有序的城市环境，助力文明城市创建，结合我市实际，现就加强城市精细化管理工作提出如下意见。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 w:firstLine="640" w:firstLineChars="200"/>
        <w:contextualSpacing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color w:val="000000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bCs w:val="0"/>
          <w:color w:val="000000"/>
          <w:kern w:val="0"/>
          <w:sz w:val="32"/>
          <w:szCs w:val="32"/>
          <w:highlight w:val="none"/>
          <w:lang w:val="en-US" w:eastAsia="zh-CN" w:bidi="ar"/>
        </w:rPr>
        <w:t>一、补短板，完善城市功能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（一）优化城市道路交通体</w:t>
      </w:r>
      <w:bookmarkStart w:id="0" w:name="_GoBack"/>
      <w:bookmarkEnd w:id="0"/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系。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不断完善提升城市路网，加快城市道路、街巷道路等基础设施建设，积极谋划一批城市道路、桥梁等重大项目，畅通内外环线，打通丰源大道、裕安大道等城市“断头路”，治理磨子潭路、五里墩大桥段、新安大桥段等城市道路堵点，畅通城市“微循环”。拓宽改造解放南路、磨子潭路、大别山路、龙河路等老城区道路，精细化改造主要交通路口，到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2023年底，城市建成区平均道路面积（公里/平方公里）达到省平均水平。着力解决主城区、老旧小区停车难问题。积极吸引社会资本，在医院、学校等周边建设一批城市公共停车场；规范施划道路停车泊位，结合老旧小区改造加快老旧小区停车设施建设，鼓励开放单位停车泊位。（责任单位：市住建局、市城管局、市发改委、市自然资源局、市交通局、市重点处、金安区政府、裕安区政府、叶集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（二）完善市政公用基础设施。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统筹推动城市道路、供水、供气等市政公用基础设施向老旧小区、近郊区延伸覆盖，逐步消除市政设施空白点。加快对城市危旧桥梁和漏损严重的老旧供水、燃气等管网的更新改造，定期检测和加固维修市政桥梁、燃气管道、供水管网，加大对损害市政设施的惩处力度，提高城市安全运行水平。提高主次干道、支路、街巷等路灯亮灯率。（责任单位：市住建局、市城管局、市发改委、市自然资源局、市交通局、金安区政府、裕安区政府、叶集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（三）加强城市污水处理设施建设。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实施厂-网-河一体化建设，推进城市污水处理提质增效。完成市政雨污管网错接漏接点排查和治理，开展城市排水系统毛细血管整治，实施老旧小区雨污分流改造。推进建成区污水管网全覆盖，生活污水全收集、全处理，提高污水处理厂的进水浓度和运行负荷率。巩固城市黑臭水体治理成效，加快建成城北污水处理厂二期、河西污水处理厂，强化对城市污水处理厂、排水管网、泵站等城市污水处理设施的运营维护和考核。加快完善城市雨污分流体系，实现建成区无生活污水直排口，基本消除城中村、老旧城区和城乡结合部生活污水收集处理空白区。（责任单位：市住建局、市发改委、市财政局、市生态环境局、市水利局、市城管局、金安区政府、裕安区政府、叶集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（四）推进城市垃圾处理设施建设。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2021年底前，建成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六安市城区餐厨垃圾处理（一期）项目，市新增餐厨废弃物处理能力达到100吨/日，地沟油处理能力达20吨/日。规范整治生活垃圾填埋场，消除环境污染隐患。排查生活垃圾焚烧处理设施，确保污染物稳定达标排放。加强建筑垃圾全过程监管，合理布局建筑垃圾填埋场，推进建筑垃圾有序处置和资源化利用。（责任单位：市城管局、市住建局、市发改委、市生态环境局、市自然资源局、金安区政府、裕安区政府、叶集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（五）实施城市老旧小区改造。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科学编制老旧小区改造年度计划，按照“应改尽改，尊重意愿”的要求，持续推进老旧小区整治改造。优先补齐小区功能短板，按照“先地下、后地上，先拆违、后改造”的要求，开展排水管网雨污分流改造和供水、燃气、供电等管线改造，实施空中弱电线缆整治，统一建筑物立面、色彩。在有条件的小区配套建设养老托幼、医疗家政、体育设施、智能信包（快递）箱等便民设施，推进小区房屋公共区域修缮、智能化、适老化改造等，推进加装电梯和充电设施建设。科学增设临时停车泊位，有条件的新建立体公共停车场，租售结合规范管理居住小区路上停车泊位和地下人防停车泊位。更新或者增设门禁系统，设置监控系统，增设集中晾晒区，小区出入口显著位置设置景观小品、精神文明建设宣传栏、刊播公益广告固定载体、便民信息公示栏、电子屏。建设“口袋公园”“袖珍公园”等社区公共绿地。（责任单位：市住建局、市城管局、市自然资源局、金安区政府、裕安区政府、叶集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（六）加快城市各类专业市场配套。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规划引领，统筹城市主要商业设施，推动商业网点创新发展。加快商业中心、社区商业、园区商业、商业街、农产品零售终端、商品交易市场、商贸物流、商旅文融合等专业市场建设，推进一批老旧农贸市场整治提升。引导、规范便民早餐点、夜市等流动摊贩入室、入点规范经营。（责任单位：市商务局、市自然资源局、市发改委、市交通局、市文旅局、市城管局、市财政局、金安区政府、裕安区政府、叶集区政府、市开发区管委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 w:firstLine="640" w:firstLineChars="200"/>
        <w:contextualSpacing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color w:val="000000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bCs w:val="0"/>
          <w:color w:val="000000"/>
          <w:kern w:val="0"/>
          <w:sz w:val="32"/>
          <w:szCs w:val="32"/>
          <w:highlight w:val="none"/>
          <w:lang w:val="en-US" w:eastAsia="zh-CN" w:bidi="ar"/>
        </w:rPr>
        <w:t>二、强弱项，优化管理服务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（七）推进城市生活垃圾分类。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开展生活垃圾分类立法工作，初步建立生活垃圾分类处理机制，实现公共机构生活垃圾强制分类全覆盖。各区在建成生活垃圾分类示范片区的基础上，逐步扩大示范范围，2022年，市主城区生活垃圾分类覆盖率逐步达70%以上。因地制宜、有序推进生活垃圾分类投放、收集、运输、处理实施体系建设，推进垃圾收运网络与再生资源回收利用网络“两网融合”。（责任单位：市城管局、市发改委、市生态环境局、市商务局、市教体局、市市场监管局、金安区政府、裕安区政府、叶集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（八）加强城市环境卫生治理。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开展环境卫生整治工作，消除城区卫生死角，保持背街小巷、农贸（集贸、批发）市场、沿街餐饮店、车站、城乡结合部等重点部位及其周边环境卫生整洁。加大道路机械化清扫力度，2021年底，中心城区道路机械化清扫率达92%以上，城区重点区域全面实施道路湿扫、吸扫作业。严格落实建筑施工扬尘防治措施，强化混凝土搅拌站环境综合整治。加强城区河道保洁，及时清运城区河道垃圾，确保城市防洪工程正常运行。及时保洁公厕，确保公厕内洁具干净，无污垢堆积，无明显异味。（责任单位：市城管局、市自然资源局、市生态环境局、市住建局、市水利局、金安区政府、裕安区政府、叶集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（九）遏制违法用地和违法建设行为。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规范管控“两违”（违法用地、违法建设），完善“两违”治理长效管控机制，合理利用卫星图片数据库，全面监控“两违”情况。构建市、区、街道（乡镇）和部门“3+1”网格化巡防责任体系，对新建、在建违法建设做到及时发现、及时制止、及时上报、及时查处，坚决遏制“两违”行为发生，实现违法建设“遏制增量、控制变量、消化存量”的目标。（责任单位：金安区政府、裕安区政府、叶集区政府、市开发区管委、市城管局、市自然资源局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（十）开展人行道净化行动。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净化梅山路、长安路、解放路、人民路、佛子岭路、磨子潭路、龙河路、大别山路等主干道路的人行道，开展摸排、整治专项行动，清除各类废弃杆桩、线缆等障碍，改造美化配电箱、变压器、信号柜等设施设备。探索实施路灯杆与其他各类杆线并杆减量，加快完成市区主次干道“多杆合一”，提高道路平整度和通畅性。清理和取缔违规接坡等行为，严禁擅自占用、损毁无障碍通道，清理非机动车道、人行道上不符合设置要求的停车泊位，整治私设地锁、路锥等路障行为，加强车辆停放秩序管控。（责任单位：市城管局、市自然资源局、市经信局、市公安局、金安区政府、裕安区政府、叶集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（十一）加强城市建筑立面安全整治。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规范建筑物的晾衣架、空调外机、遮阳棚、花架、花台、电子显示屏、卷帘门等设施，建筑外立面不宜设置防盗窗、防盗格栅等设施，确需设置的应当采用内置方式。整治各类架空管线，统一纳入综合管廊或地下共同管沟，暂时不具备纳入条件的应当进行统一规整，实现同一物业区域建筑物外立面统一标准、统一颜色。规范户外广告设置，统一门头牌匾标准，按照“治乱、减量、提档、规范”的要求，集中查处和拆除违法违规设置或存在安全隐患的户外广告设施。（责任单位：市城管局、市住建局、市自然资源局、市经信局、金安区政府、裕安区政府、叶集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（十二）加强住宅小区物业管理。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坚持党建引领，理顺物业管理体制，畅通管理机制，打造红色物业，建立和完善社区党组织、社居委、业主委员会和物业服务企业“四位一体”的议事协调机制，协调处理住宅小区涉及物业服务的重大事项，推动物业管理多元主体协同治理。建立物业管理与综合执法工作衔接机制，落实行政执法进小区，依法查处住宅小区内乱搭乱建、违规装修、违规排污、乱停车辆、毁绿种菜、侵占公共空间等违法行为和物业服务企业违规经营行为。成立由行业主管部门牵头，辖区政府、物业协会、社区和物业行业专家共同组成的考核组，持续开展物业服务季度考核，定期在新闻媒体公布考核结果，强化考核结果运用，建立“优胜劣汰”退出机制，规范物业企业服务行为，提升服务质量。（责任单位：市城管局、市住建局、金安区政府、裕安区政府、叶集区政府、市开发区管委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 w:firstLine="640" w:firstLineChars="200"/>
        <w:contextualSpacing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color w:val="000000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bCs w:val="0"/>
          <w:color w:val="000000"/>
          <w:kern w:val="0"/>
          <w:sz w:val="32"/>
          <w:szCs w:val="32"/>
          <w:highlight w:val="none"/>
          <w:lang w:val="en-US" w:eastAsia="zh-CN" w:bidi="ar"/>
        </w:rPr>
        <w:t>三、提品质，改善人居环境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（十三）完善公共配套服务。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以社区为中心，完善基层公共管理与公共服务设施、商业服务设施、市政公用设施、交通场站及邻里服务中心、便民服务设施，着力打造一批便利群众生活的“15分钟生活圈”。加强城区绿道建设，持续优化完善城市绿道衔接系统建设，逐步将绿道建设与城市慢行系统建设相结合，完善城市绿道支路网，形成绿道网络体系。（责任单位：市自然资源局、市住建局、市城管局、金安区政府、裕安区政府、叶集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（十四）提升城市水环境及绿化品质。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全面推进城市水环境治理，统筹推进海绵城市建设和城市排水防涝工程，实现水清、岸绿、景美。进一步完善城市绿色开放空间体系，按照市民出行300米见绿、500米见园的要求，每年新建一批街头绿地游园和口袋公园。因地制宜推进城市山体、水系、湿地、绿地的生态修复，系统开展小微生态功能空间建设，合理划定城市蓝线、绿线，落实相关管控制度，完善城市生态网络体系，保护古树名木，坚持适地适树原则，严控“大树进城”。（责任单位：市住建局、市城管局、金安区政府、裕安区政府、叶集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（十五）展现城市文化风貌。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加强城市规划和城市设计，充分体现城市地域文化、特色、底蕴、特质和时代风貌，提升城市景观品质。注重历史文化街区保护，整治提升街区风貌特色，加强对不同时期的历史建筑普查、测绘、建档、挂牌保护工作。采用“绣花”“织补”等微改造方式，从品质、环境、文化、创新、公共服务等方面持续增强城市宜居性。（责任单位：市住建局、市文旅局、市自然资源局、市城管局、金安区政府、裕安区政府、叶集区政府、市开发区管委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 w:firstLine="640" w:firstLineChars="200"/>
        <w:contextualSpacing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color w:val="000000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bCs w:val="0"/>
          <w:color w:val="000000"/>
          <w:kern w:val="0"/>
          <w:sz w:val="32"/>
          <w:szCs w:val="32"/>
          <w:highlight w:val="none"/>
          <w:lang w:val="en-US" w:eastAsia="zh-CN" w:bidi="ar"/>
        </w:rPr>
        <w:t>四、抓长效，提升治理能力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（十六）推进城市管理法治化。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发挥立法的引领和规范作用，贯彻《六安市城市管理行政执法条例》《六安市文明行为促进条例》《六安市物业管理条例》；加快制定《六安市生活垃圾分类管理办法》《六安市餐厨垃圾管理办法》；进一步深化城市管理执法体制改革，街道管理体制改革，理顺城管执法、自然资源、生态环境、市场监管等部门在城市管理相关领域的执法职责，明确监管和执法界限；建立日常监管和末端处罚的衔接机制，严格履行行政监督及行业管理职责，加强事前、事中、事后监管；严格城市管理领域行政处罚裁量权的行使，全面推行行政执法公示、执法全过程记录、重大执法决定法制审核三项制度；加强城市管理执法队伍规范化建设，严格规范公正文明执法。加强行政执法与司法衔接，依法查处破坏城市基础设施的违法行为，严厉打击妨碍城市管理执法和暴力抗法行为，完善建筑业、房地产业、园林绿化等行业信用平台建设，强化信用结果运用。（责任单位：市城管局、市司法局、市公安局、市发改委、市生态环境局、市住建局、金安区政府、裕安区政府、叶集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（十七）推进城市管理信息化。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统筹推进全市智慧城管系统建设，加快推进县（区）数字城管系统平台智慧化升级改造，实现省、市、县（区）三级平台互联互通。加快推进县级地下管网地理信息系统和安全运行监测系统建设，不断提升我市城市地下管网智能化、精细化管理水平，减少地下管网安全事故发生。依托江淮大数据中心六安子平台及“城市大脑”，畅通部门之间信息共享渠道，共建共享公共交通、物流、停车场、基础设施维护、环境监测等各领域数据资源，为城市精细化、智能化管理提供数据支持。（责任单位：市城管局、市住建局、市数管局、市公安局、市自然资源局、市生态环境局、县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（十八）推进城市管理专业化。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加强专业化队伍建设，强化城市管理各类培训、理论研讨和执法监督，注重实战应急演练，全面提升城市管理执法队伍专业素养，加快培养一批懂城市、会管理的城市管理干部和专业人才。积极推广政府购买服务、社会资本合作等模式，引入专业化城市管理和服务运营商，完善精细化管理标准，提升专业化服务水平。（责任单位：市城管局、县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（十九）推进城市管理社会化。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深入推进“文明城市创建”活动，探索群众公议等矛盾化解、权益保障新模式。合理建设“城管服务超市”、城管岗亭、社区工作站、便民服务亭等便民服务平台。发挥12345市长热线、城市管理部门微信公众服务号功能，引导社会公众自觉维护和监督城市环境秩序，形成多元共治、良性互动的城市治理模式。（责任单位：市市长热线办公室、市城管局、市住建局、市自然资源局、金安区政府、裕安区政府、叶集区政府、市开发区管委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 w:firstLine="640" w:firstLineChars="200"/>
        <w:contextualSpacing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color w:val="000000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bCs w:val="0"/>
          <w:color w:val="000000"/>
          <w:kern w:val="0"/>
          <w:sz w:val="32"/>
          <w:szCs w:val="32"/>
          <w:highlight w:val="none"/>
          <w:lang w:val="en-US" w:eastAsia="zh-CN" w:bidi="ar"/>
        </w:rPr>
        <w:t>五、健全保障制度，完善政策措施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（二十）加强组织领导。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充分发挥市城市管理委员会的功能，统筹推进全市城市精细化管理工作。构建市城管局负责日常调度、投诉受理、督办催办、反馈意见和组织检查，市直有关部门各司其职，各负其责，共同推进城市精细化管理工作的格局。县区人民政府、市开发区管委要切实加强对城市精细化管理工作的组织领导，坚持问题、目标、效果导向，细化工作要求，量化工作指标，压实工作责任，落实保障措施。（责任单位：市城管局、县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（二十一）拓宽融资渠道。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各级政府加大投入力度，统筹上级补助、政府债券等资金，积极推进城市精细化管理工作，鼓励社会资本参与老旧小区改造、城市管网、停车场、特色街区等基础设施建设及维护管理。全面开放环卫保洁、园林绿化养护、市政设施维护等市场，推行政府向社会企业、公共机构购买服务和PPP模式。（责任单位：市财政局、市住建局、市城管局、县区政府、市开发区管委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（二十二）开展试点示范。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各县区人民政府、市开发区管委要聚焦城市主要道路、主要河道及两侧，市民主要休闲服务和市民集中居住等重点区域，对照《安徽省城市街区整治提升导则（试行）》标准要求，每年推进一批“示范道路”“示范街区”“示范小区”试点，发挥典型示范引领作用，不断优化城市整体环境。金安区、裕安区和市开发区作为主城区，要主动对标一流，全面提升城市品质和精细化管理水平，着力塑造城市风貌，充分展示城市魅力，为促进全市城市管理水平上台阶作表率。（责任单位：市城管局、市住建局、市自然资源局、市公安局、县区政府、市开发区管委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 w:firstLine="640" w:firstLineChars="200"/>
        <w:contextualSpacing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（二十三）强化督促指导。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制定城市管理效能评价标准，健全第三方评估机制，组织实施科学客观评价，评价结果纳入市政府年度目标管理绩效考核，作为县区干部政绩考核的重要内容。市城管局、市住建局、市委督查办加强指导，督促各项工作落地见效，切实提升城市精细化管理水平。（责任单位：市城管局、市住建局、市委督查办、县区政府、市开发区管委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 w:firstLine="640" w:firstLineChars="200"/>
        <w:contextualSpacing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 w:firstLine="640" w:firstLineChars="200"/>
        <w:contextualSpacing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 w:firstLine="640" w:firstLineChars="200"/>
        <w:contextualSpacing/>
        <w:jc w:val="right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 xml:space="preserve">                        六安市人民政府   </w:t>
      </w:r>
    </w:p>
    <w:p>
      <w:pPr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 w:firstLine="640" w:firstLineChars="200"/>
        <w:contextualSpacing/>
        <w:jc w:val="right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 xml:space="preserve">2021年8月13日 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 w:firstLine="640" w:firstLineChars="200"/>
        <w:contextualSpacing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/>
        <w:contextualSpacing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/>
        <w:contextualSpacing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/>
        <w:contextualSpacing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right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shd w:val="clear" w:color="auto" w:fill="FFFFFF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shd w:val="clear" w:color="auto" w:fill="FFFFFF"/>
          <w:lang w:val="en-US" w:eastAsia="zh-CN"/>
        </w:rPr>
        <w:t>具体任务分解表</w:t>
      </w:r>
    </w:p>
    <w:tbl>
      <w:tblPr>
        <w:tblStyle w:val="6"/>
        <w:tblpPr w:leftFromText="180" w:rightFromText="180" w:vertAnchor="text" w:horzAnchor="page" w:tblpX="1468" w:tblpY="566"/>
        <w:tblOverlap w:val="never"/>
        <w:tblW w:w="8945" w:type="dxa"/>
        <w:tblInd w:w="0" w:type="dxa"/>
        <w:tblBorders>
          <w:top w:val="single" w:color="CCCCCC" w:sz="6" w:space="0"/>
          <w:left w:val="single" w:color="CCCCCC" w:sz="6" w:space="0"/>
          <w:bottom w:val="single" w:color="CCCCCC" w:sz="6" w:space="0"/>
          <w:right w:val="single" w:color="CCCCCC" w:sz="6" w:space="0"/>
          <w:insideH w:val="single" w:color="CCCCCC" w:sz="4" w:space="0"/>
          <w:insideV w:val="single" w:color="CCCCCC" w:sz="4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7"/>
        <w:gridCol w:w="3935"/>
        <w:gridCol w:w="1020"/>
        <w:gridCol w:w="1969"/>
        <w:gridCol w:w="1174"/>
      </w:tblGrid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序号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 w:firstLine="0" w:firstLine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工作任务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牵头责任单位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配合单位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时限要求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打通丰源大道、裕安大道等城市“断头路”，治理磨子潭路、五里墩大桥段、新安大桥段等城市道路堵点，畅通城市“微循环”。拓宽改造解放南路、磨子潭路、大别山路、龙河路等老城区道路，精细化改造主要交通路口，到2023年底，城市建成区平均道路面积（公里/平方公里）达到省平均水平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市住建局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市城管局、市发改委、市自然资源局、市交通局、市重点处，金安区政府、裕安区政府、叶集区政府、市开发区管委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到2023年底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推进城市污水处理提质增效，加强污水处理设施建设，完成市政雨污管网错接漏接点排查和治理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市住建局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市发改委、市财政局、市生态环境局、市水利局、市城管局，金安区政府、裕安区政府、叶集区政府、市开发区管委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到2021年底见成效，长期保持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3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建成六安市城区餐厨垃圾处理（一期）项目，市新增餐厨废弃物处理能力达到100吨/日，地沟油处理能力达20吨/日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市城管局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市住建局、市发改委、市生态环境局、市自然资源局，金安区政府、裕安区政府、叶集区政府、市开发区管委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到2021年底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4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科学编制老旧小区改造年度计划，按照“应改尽改，尊重意愿”的要求，持续推进老旧小区整治改造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市住建局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市城管局、市自然资源局，金安区政府、裕安区政府、叶集区政府、市开发区管委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到2021年见成效，长期保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持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5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加快商业中心、社区商业及园区商业、商业街、农产品零售终端、商品交易市场、商贸物流、商旅文融合等专业市场建设，推进一批老旧农贸市场整治提升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市商务局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市自然资源局、市发改委、市交通局、市文旅局、市城管局、市财政局，金安区政府、裕安区政府、叶集区政府、市开发区管委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到2021年底见成效，长期保持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6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实现公共机构生活垃圾强制分类全覆盖，各区在建成生活垃圾分类示范片区的基础上，逐步扩大示范范围，2022年，市主城区生活垃圾分类覆盖率逐步达70%以上。因地制宜、有序推进生活垃圾分类投放、收集、运输、处理实施体系建设，推进垃圾收运网络与再生资源回收利用网络“两网融合”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市城管局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市发改委、市生态环境局、市商务局、市教体局、市市场监管局，金安区政府、裕安区政府、叶集区政府、市开发区管委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到2022年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7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中心城区道路机械化清扫率达92%以上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市城管局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金安区政府、裕安区政府、市开发区管委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长期保持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8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构建市、区、街道（乡镇）和部门“3+1”网格化巡防责任体系，对新建、在建违法建设做到及时发现、及时制止、及时上报、及时查处，坚决遏制“两违”行为发生，确保我市实现违法建设“遏制增量、控制变量、消化存量”的目标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金安区政府、裕安区政府、叶集区政府、市开发区管委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市自然资源局、市城管局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到2021年底见成效，长期保持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9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建立物业管理与综合执法工作衔接机制，落实行政执法进小区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市住建局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市城管局，金安区政府、裕安区政府、叶集区政府、市开发区管委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到2021年底见成效，长期保持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10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市民出行300米见绿、500米见园的要求，每年新建一批街头绿地游园和口袋公园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市城管局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金安区政府、裕安区政府、市开发区管委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到2021年底见成效，长期保持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11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统筹推进全市智慧城管系统建设，加快推进县（区）数字城管系统平台智慧化升级改造，实现省、市、县（区）三级平台互联互通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市城管局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县区政府、市开发区管委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到2021年底初见成效，长期保持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single" w:color="CCCCCC" w:sz="4" w:space="0"/>
            <w:insideV w:val="single" w:color="CCCCCC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47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12</w:t>
            </w:r>
          </w:p>
        </w:tc>
        <w:tc>
          <w:tcPr>
            <w:tcW w:w="393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加快推进县级地下管网地理信息系统和安全运行监测系统建设，不断提升我市城市地下管网智能化、精细化管理水平，减少地下管网安全事故发生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市城管局</w:t>
            </w:r>
          </w:p>
        </w:tc>
        <w:tc>
          <w:tcPr>
            <w:tcW w:w="196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市住建局、市数管局，县区政府、市开发区管委</w:t>
            </w:r>
          </w:p>
        </w:tc>
        <w:tc>
          <w:tcPr>
            <w:tcW w:w="1174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before="0" w:beforeAutospacing="0" w:afterAutospacing="0" w:line="590" w:lineRule="exact"/>
              <w:ind w:left="0" w:leftChars="0" w:right="0" w:rightChars="0"/>
              <w:contextualSpacing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  <w:t>到2021年底初见成效，长期保持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N/>
        <w:bidi w:val="0"/>
        <w:adjustRightInd/>
        <w:snapToGrid/>
        <w:spacing w:before="0" w:beforeAutospacing="0" w:afterAutospacing="0" w:line="590" w:lineRule="exact"/>
        <w:ind w:left="0" w:leftChars="0" w:right="0" w:rightChars="0"/>
        <w:contextualSpacing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highlight w:val="none"/>
          <w:vertAlign w:val="baseline"/>
          <w:lang w:val="en-US" w:eastAsia="zh-CN" w:bidi="ar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  <w:rPr>
        <w:rFonts w:eastAsia="仿宋"/>
        <w:sz w:val="32"/>
        <w:szCs w:val="48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t xml:space="preserve">— </w:t>
                          </w:r>
                          <w:r>
                            <w:rPr>
                              <w:rFonts w:ascii="Times New Roman" w:hAnsi="Times New Roman" w:eastAsia="仿宋_GB2312" w:cs="Times New Roman"/>
                              <w:sz w:val="28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eastAsia="仿宋_GB2312" w:cs="Times New Roman"/>
                              <w:sz w:val="28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eastAsia="仿宋_GB2312" w:cs="Times New Roman"/>
                              <w:sz w:val="28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eastAsia="仿宋_GB2312" w:cs="Times New Roman"/>
                              <w:sz w:val="28"/>
                              <w:szCs w:val="32"/>
                            </w:rPr>
                            <w:t>1</w:t>
                          </w:r>
                          <w:r>
                            <w:rPr>
                              <w:rFonts w:ascii="Times New Roman" w:hAnsi="Times New Roman" w:eastAsia="仿宋_GB2312" w:cs="Times New Roman"/>
                              <w:sz w:val="28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eastAsia="仿宋_GB2312" w:cs="Times New Roman"/>
                              <w:sz w:val="28"/>
                              <w:szCs w:val="32"/>
                            </w:rPr>
                            <w:t xml:space="preserve"> </w:t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t xml:space="preserve">— </w:t>
                    </w:r>
                    <w:r>
                      <w:rPr>
                        <w:rFonts w:ascii="Times New Roman" w:hAnsi="Times New Roman" w:eastAsia="仿宋_GB2312" w:cs="Times New Roman"/>
                        <w:sz w:val="28"/>
                        <w:szCs w:val="32"/>
                      </w:rPr>
                      <w:fldChar w:fldCharType="begin"/>
                    </w:r>
                    <w:r>
                      <w:rPr>
                        <w:rFonts w:ascii="Times New Roman" w:hAnsi="Times New Roman" w:eastAsia="仿宋_GB2312" w:cs="Times New Roman"/>
                        <w:sz w:val="28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eastAsia="仿宋_GB2312" w:cs="Times New Roman"/>
                        <w:sz w:val="28"/>
                        <w:szCs w:val="32"/>
                      </w:rPr>
                      <w:fldChar w:fldCharType="separate"/>
                    </w:r>
                    <w:r>
                      <w:rPr>
                        <w:rFonts w:ascii="Times New Roman" w:hAnsi="Times New Roman" w:eastAsia="仿宋_GB2312" w:cs="Times New Roman"/>
                        <w:sz w:val="28"/>
                        <w:szCs w:val="32"/>
                      </w:rPr>
                      <w:t>1</w:t>
                    </w:r>
                    <w:r>
                      <w:rPr>
                        <w:rFonts w:ascii="Times New Roman" w:hAnsi="Times New Roman" w:eastAsia="仿宋_GB2312" w:cs="Times New Roman"/>
                        <w:sz w:val="28"/>
                        <w:szCs w:val="32"/>
                      </w:rPr>
                      <w:fldChar w:fldCharType="end"/>
                    </w:r>
                    <w:r>
                      <w:rPr>
                        <w:rFonts w:ascii="Times New Roman" w:hAnsi="Times New Roman" w:eastAsia="仿宋_GB2312" w:cs="Times New Roman"/>
                        <w:sz w:val="28"/>
                        <w:szCs w:val="32"/>
                      </w:rPr>
                      <w:t xml:space="preserve"> </w:t>
                    </w:r>
                    <w:r>
                      <w:t>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  <w:ind w:right="360" w:firstLine="360"/>
      <w:jc w:val="right"/>
      <w:rPr>
        <w:rFonts w:hint="eastAsia" w:eastAsia="仿宋"/>
        <w:color w:val="FAFAFA"/>
        <w:sz w:val="32"/>
        <w:szCs w:val="48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10795</wp:posOffset>
              </wp:positionH>
              <wp:positionV relativeFrom="paragraph">
                <wp:posOffset>175895</wp:posOffset>
              </wp:positionV>
              <wp:extent cx="5400040" cy="1905"/>
              <wp:effectExtent l="0" t="10795" r="10160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noFill/>
                      <a:ln w="22225" cap="flat" cmpd="sng" algn="ctr">
                        <a:solidFill>
                          <a:srgbClr val="005192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.85pt;margin-top:13.85pt;height:0.15pt;width:425.2pt;z-index:251660288;mso-width-relative:page;mso-height-relative:page;" filled="f" stroked="t" coordsize="21600,21600" o:gfxdata="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F+mNSvRAAAABwEAAA8AAAAA&#10;AAAAAQAgAAAAIgAAAGRycy9kb3ducmV2LnhtbFBLAQIUABQAAAAIAIdO4kD0P31X4gEAAKwDAAAO&#10;AAAAAAAAAAEAIAAAACABAABkcnMvZTJvRG9jLnhtbFBLBQYAAAAABgAGAFkBAAB0BQAAAAA=&#10;">
              <v:fill on="f" focussize="0,0"/>
              <v:stroke weight="1.75pt" color="#005192" joinstyle="round"/>
              <v:imagedata o:title=""/>
              <o:lock v:ext="edit" aspectratio="f"/>
            </v:line>
          </w:pict>
        </mc:Fallback>
      </mc:AlternateContent>
    </w:r>
    <w:r>
      <w:rPr>
        <w:rFonts w:hint="eastAsia" w:eastAsia="仿宋"/>
        <w:color w:val="FAFAFA"/>
        <w:sz w:val="32"/>
        <w:szCs w:val="48"/>
      </w:rPr>
      <w:t>.X</w:t>
    </w:r>
  </w:p>
  <w:p>
    <w:pPr>
      <w:pStyle w:val="3"/>
      <w:ind w:firstLine="4779" w:firstLineChars="1700"/>
      <w:jc w:val="right"/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六安</w:t>
    </w:r>
    <w:r>
      <w:rPr>
        <w:rFonts w:hint="eastAsia" w:ascii="宋体" w:hAnsi="宋体" w:eastAsia="宋体" w:cs="宋体"/>
        <w:b/>
        <w:bCs/>
        <w:color w:val="005192"/>
        <w:sz w:val="28"/>
        <w:szCs w:val="44"/>
      </w:rPr>
      <w:t xml:space="preserve">市人民政府发布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  <w:textAlignment w:val="center"/>
    </w:pPr>
    <w:r>
      <w:rPr>
        <w:rFonts w:hint="eastAsia" w:ascii="宋体" w:hAnsi="宋体" w:eastAsia="宋体" w:cs="宋体"/>
        <w:b/>
        <w:bCs/>
        <w:color w:val="005192"/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-14605</wp:posOffset>
              </wp:positionH>
              <wp:positionV relativeFrom="paragraph">
                <wp:posOffset>340995</wp:posOffset>
              </wp:positionV>
              <wp:extent cx="5400040" cy="0"/>
              <wp:effectExtent l="0" t="10795" r="10160" b="17780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noFill/>
                      <a:ln w="22225" cap="flat" cmpd="sng" algn="ctr">
                        <a:solidFill>
                          <a:srgbClr val="005192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1.15pt;margin-top:26.85pt;height:0pt;width:425.2pt;z-index:251659264;mso-width-relative:page;mso-height-relative:page;" filled="f" stroked="t" coordsize="21600,21600" o:gfxdata="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GsvooDU&#10;AAAACAEAAA8AAAAAAAAAAQAgAAAAIgAAAGRycy9kb3ducmV2LnhtbFBLAQIUABQAAAAIAIdO4kA7&#10;PdZy6wEAALQDAAAOAAAAAAAAAAEAIAAAACMBAABkcnMvZTJvRG9jLnhtbFBLBQYAAAAABgAGAFkB&#10;AACABQAAAAA=&#10;">
              <v:fill on="f" focussize="0,0"/>
              <v:stroke weight="1.75pt" color="#005192" joinstyle="round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5240" b="15240"/>
          <wp:docPr id="1" name="图片 1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eastAsia="zh-CN"/>
      </w:rPr>
      <w:t>六安</w:t>
    </w:r>
    <w:r>
      <w:rPr>
        <w:rFonts w:hint="eastAsia" w:ascii="宋体" w:hAnsi="宋体" w:eastAsia="宋体" w:cs="宋体"/>
        <w:b/>
        <w:bCs/>
        <w:color w:val="005192"/>
        <w:sz w:val="32"/>
      </w:rPr>
      <w:t>市人民政府行政规范性文件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Q2YjExMWQyZTU1ZDI2ZTYwMDczMzY2NTkxZjVhYWYifQ=="/>
  </w:docVars>
  <w:rsids>
    <w:rsidRoot w:val="0E90461C"/>
    <w:rsid w:val="01F76B65"/>
    <w:rsid w:val="0E115320"/>
    <w:rsid w:val="0E90461C"/>
    <w:rsid w:val="0F684616"/>
    <w:rsid w:val="44340C3A"/>
    <w:rsid w:val="533D2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7589</Words>
  <Characters>7684</Characters>
  <Lines>0</Lines>
  <Paragraphs>0</Paragraphs>
  <TotalTime>2</TotalTime>
  <ScaleCrop>false</ScaleCrop>
  <LinksUpToDate>false</LinksUpToDate>
  <CharactersWithSpaces>7719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2022-10-25T06:25:00Z</dcterms:created>
  <dc:creator>丰田小王15651879878</dc:creator>
  <cp:lastModifiedBy>安澜</cp:lastModifiedBy>
  <dcterms:modified xsi:type="dcterms:W3CDTF">2023-08-28T02:33:27Z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C7DDF356879B45B7878DA324A1DD7159_13</vt:lpwstr>
  </property>
</Properties>
</file>