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8A469F">
      <w:pPr>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微软雅黑" w:cs="Times New Roman"/>
          <w:b/>
          <w:bCs/>
          <w:i w:val="0"/>
          <w:iCs w:val="0"/>
          <w:caps w:val="0"/>
          <w:color w:val="333333"/>
          <w:spacing w:val="0"/>
          <w:sz w:val="40"/>
          <w:szCs w:val="40"/>
          <w:shd w:val="clear" w:fill="FFFFFF"/>
        </w:rPr>
      </w:pPr>
      <w:bookmarkStart w:id="0" w:name="_GoBack"/>
    </w:p>
    <w:p w14:paraId="08F639FD">
      <w:pPr>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微软雅黑" w:cs="Times New Roman"/>
          <w:b/>
          <w:bCs/>
          <w:i w:val="0"/>
          <w:iCs w:val="0"/>
          <w:caps w:val="0"/>
          <w:color w:val="333333"/>
          <w:spacing w:val="0"/>
          <w:sz w:val="40"/>
          <w:szCs w:val="40"/>
          <w:shd w:val="clear" w:fill="FFFFFF"/>
        </w:rPr>
      </w:pPr>
    </w:p>
    <w:p w14:paraId="0FDDB58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color w:val="000000"/>
          <w:sz w:val="44"/>
          <w:szCs w:val="44"/>
          <w:shd w:val="clear" w:color="auto" w:fill="FFFFFF"/>
        </w:rPr>
      </w:pPr>
      <w:r>
        <w:rPr>
          <w:rFonts w:hint="default" w:ascii="Times New Roman" w:hAnsi="Times New Roman" w:eastAsia="方正小标宋_GBK" w:cs="Times New Roman"/>
          <w:color w:val="000000"/>
          <w:sz w:val="44"/>
          <w:szCs w:val="44"/>
          <w:shd w:val="clear" w:color="auto" w:fill="FFFFFF"/>
        </w:rPr>
        <w:t>关于修订《六安市市本级城市园林绿化养护管理考核办法》的通知</w:t>
      </w:r>
    </w:p>
    <w:p w14:paraId="3C564E4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 xml:space="preserve"> 六城管〔2018〕136号 </w:t>
      </w:r>
    </w:p>
    <w:p w14:paraId="3D3C1980">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color w:val="000000"/>
          <w:sz w:val="32"/>
          <w:szCs w:val="32"/>
          <w:shd w:val="clear" w:color="auto" w:fill="FFFFFF"/>
        </w:rPr>
      </w:pPr>
    </w:p>
    <w:p w14:paraId="79670690">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局属各单位、机关各科室：</w:t>
      </w:r>
    </w:p>
    <w:p w14:paraId="549949ED">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 xml:space="preserve">为进一步提升市本级园林绿化养护管理水平，根据有关法律法规和标准规范的规定，结合市本级绿化养护实际，我局对《六安市城市园林绿化养护管理考核办法》（六城管〔2014〕135号）作适当修订，研究制定了《六安市市本级城市园林绿化养护管理考核办法》，现印发给你们，请认真贯彻执行。 </w:t>
      </w:r>
    </w:p>
    <w:p w14:paraId="209FF252">
      <w:pPr>
        <w:pStyle w:val="2"/>
        <w:rPr>
          <w:rFonts w:hint="default"/>
        </w:rPr>
      </w:pPr>
    </w:p>
    <w:p w14:paraId="74CCE5A7">
      <w:pPr>
        <w:rPr>
          <w:rFonts w:hint="default"/>
        </w:rPr>
      </w:pPr>
    </w:p>
    <w:p w14:paraId="743F74BC">
      <w:pPr>
        <w:keepNext w:val="0"/>
        <w:keepLines w:val="0"/>
        <w:pageBreakBefore w:val="0"/>
        <w:widowControl w:val="0"/>
        <w:kinsoku/>
        <w:wordWrap w:val="0"/>
        <w:overflowPunct/>
        <w:topLinePunct w:val="0"/>
        <w:autoSpaceDE/>
        <w:autoSpaceDN/>
        <w:bidi w:val="0"/>
        <w:adjustRightInd/>
        <w:snapToGrid/>
        <w:spacing w:line="590" w:lineRule="exact"/>
        <w:ind w:firstLine="640" w:firstLineChars="200"/>
        <w:jc w:val="right"/>
        <w:textAlignment w:val="auto"/>
        <w:rPr>
          <w:rFonts w:hint="default" w:ascii="Times New Roman" w:hAnsi="Times New Roman" w:eastAsia="方正仿宋_GBK" w:cs="Times New Roman"/>
          <w:color w:val="000000"/>
          <w:sz w:val="32"/>
          <w:szCs w:val="32"/>
          <w:shd w:val="clear" w:color="auto" w:fill="FFFFFF"/>
          <w:lang w:val="en-US" w:eastAsia="zh-CN"/>
        </w:rPr>
      </w:pPr>
      <w:r>
        <w:rPr>
          <w:rFonts w:hint="eastAsia" w:ascii="Times New Roman" w:hAnsi="Times New Roman" w:eastAsia="方正仿宋_GBK" w:cs="Times New Roman"/>
          <w:color w:val="000000"/>
          <w:sz w:val="32"/>
          <w:szCs w:val="32"/>
          <w:shd w:val="clear" w:color="auto" w:fill="FFFFFF"/>
          <w:lang w:eastAsia="zh-CN"/>
        </w:rPr>
        <w:t>六安市城市管理行政执法局</w:t>
      </w:r>
      <w:r>
        <w:rPr>
          <w:rFonts w:hint="eastAsia" w:ascii="Times New Roman" w:hAnsi="Times New Roman" w:eastAsia="方正仿宋_GBK" w:cs="Times New Roman"/>
          <w:color w:val="000000"/>
          <w:sz w:val="32"/>
          <w:szCs w:val="32"/>
          <w:shd w:val="clear" w:color="auto" w:fill="FFFFFF"/>
          <w:lang w:val="en-US" w:eastAsia="zh-CN"/>
        </w:rPr>
        <w:t xml:space="preserve">   </w:t>
      </w:r>
    </w:p>
    <w:p w14:paraId="21710261">
      <w:pPr>
        <w:keepNext w:val="0"/>
        <w:keepLines w:val="0"/>
        <w:pageBreakBefore w:val="0"/>
        <w:widowControl w:val="0"/>
        <w:kinsoku/>
        <w:wordWrap w:val="0"/>
        <w:overflowPunct/>
        <w:topLinePunct w:val="0"/>
        <w:autoSpaceDE/>
        <w:autoSpaceDN/>
        <w:bidi w:val="0"/>
        <w:adjustRightInd/>
        <w:snapToGrid/>
        <w:spacing w:line="590" w:lineRule="exact"/>
        <w:jc w:val="right"/>
        <w:textAlignment w:val="auto"/>
        <w:rPr>
          <w:rFonts w:hint="default" w:ascii="Times New Roman" w:hAnsi="Times New Roman" w:eastAsia="方正仿宋_GBK" w:cs="Times New Roman"/>
          <w:color w:val="000000"/>
          <w:sz w:val="32"/>
          <w:szCs w:val="32"/>
          <w:shd w:val="clear" w:color="auto" w:fill="FFFFFF"/>
          <w:lang w:val="en-US" w:eastAsia="zh-CN"/>
        </w:rPr>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default" w:ascii="Times New Roman" w:hAnsi="Times New Roman" w:eastAsia="方正仿宋_GBK" w:cs="Times New Roman"/>
          <w:color w:val="000000"/>
          <w:sz w:val="32"/>
          <w:szCs w:val="32"/>
          <w:shd w:val="clear" w:color="auto" w:fill="FFFFFF"/>
        </w:rPr>
        <w:t>2018年8月7日</w:t>
      </w:r>
      <w:r>
        <w:rPr>
          <w:rFonts w:hint="eastAsia" w:ascii="Times New Roman" w:hAnsi="Times New Roman" w:eastAsia="方正仿宋_GBK" w:cs="Times New Roman"/>
          <w:color w:val="000000"/>
          <w:sz w:val="32"/>
          <w:szCs w:val="32"/>
          <w:shd w:val="clear" w:color="auto" w:fill="FFFFFF"/>
          <w:lang w:val="en-US" w:eastAsia="zh-CN"/>
        </w:rPr>
        <w:t xml:space="preserve">       </w:t>
      </w:r>
    </w:p>
    <w:p w14:paraId="55F6C338">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color w:val="000000"/>
          <w:sz w:val="44"/>
          <w:szCs w:val="44"/>
          <w:shd w:val="clear" w:color="auto" w:fill="FFFFFF"/>
        </w:rPr>
      </w:pPr>
    </w:p>
    <w:p w14:paraId="312CC77A">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color w:val="000000"/>
          <w:sz w:val="44"/>
          <w:szCs w:val="44"/>
          <w:shd w:val="clear" w:color="auto" w:fill="FFFFFF"/>
        </w:rPr>
      </w:pPr>
      <w:r>
        <w:rPr>
          <w:rFonts w:hint="default" w:ascii="Times New Roman" w:hAnsi="Times New Roman" w:eastAsia="方正小标宋_GBK" w:cs="Times New Roman"/>
          <w:color w:val="000000"/>
          <w:sz w:val="44"/>
          <w:szCs w:val="44"/>
          <w:shd w:val="clear" w:color="auto" w:fill="FFFFFF"/>
        </w:rPr>
        <w:t>六安市市本级城市园林绿化养护管理</w:t>
      </w:r>
    </w:p>
    <w:p w14:paraId="00F0AC58">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color w:val="000000"/>
          <w:sz w:val="44"/>
          <w:szCs w:val="44"/>
          <w:shd w:val="clear" w:color="auto" w:fill="FFFFFF"/>
        </w:rPr>
      </w:pPr>
      <w:r>
        <w:rPr>
          <w:rFonts w:hint="default" w:ascii="Times New Roman" w:hAnsi="Times New Roman" w:eastAsia="方正小标宋_GBK" w:cs="Times New Roman"/>
          <w:color w:val="000000"/>
          <w:sz w:val="44"/>
          <w:szCs w:val="44"/>
          <w:shd w:val="clear" w:color="auto" w:fill="FFFFFF"/>
        </w:rPr>
        <w:t>考核办法</w:t>
      </w:r>
    </w:p>
    <w:p w14:paraId="7184447A">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黑体" w:cs="Times New Roman"/>
          <w:color w:val="000000"/>
          <w:sz w:val="32"/>
          <w:szCs w:val="32"/>
          <w:shd w:val="clear" w:color="auto" w:fill="FFFFFF"/>
        </w:rPr>
      </w:pPr>
    </w:p>
    <w:p w14:paraId="22487B6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黑体_GBK" w:hAnsi="方正黑体_GBK" w:eastAsia="方正黑体_GBK" w:cs="方正黑体_GBK"/>
          <w:color w:val="000000"/>
          <w:sz w:val="32"/>
          <w:szCs w:val="32"/>
          <w:shd w:val="clear" w:color="auto" w:fill="FFFFFF"/>
        </w:rPr>
      </w:pPr>
      <w:r>
        <w:rPr>
          <w:rFonts w:hint="eastAsia" w:ascii="方正黑体_GBK" w:hAnsi="方正黑体_GBK" w:eastAsia="方正黑体_GBK" w:cs="方正黑体_GBK"/>
          <w:color w:val="000000"/>
          <w:sz w:val="32"/>
          <w:szCs w:val="32"/>
          <w:shd w:val="clear" w:color="auto" w:fill="FFFFFF"/>
        </w:rPr>
        <w:t>第一章   总则</w:t>
      </w:r>
    </w:p>
    <w:p w14:paraId="64BB9405">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b/>
          <w:bCs/>
          <w:color w:val="000000"/>
          <w:sz w:val="32"/>
          <w:szCs w:val="32"/>
          <w:shd w:val="clear" w:color="auto" w:fill="FFFFFF"/>
        </w:rPr>
        <w:t>第一条</w:t>
      </w:r>
      <w:r>
        <w:rPr>
          <w:rFonts w:hint="default" w:ascii="Times New Roman" w:hAnsi="Times New Roman" w:eastAsia="方正仿宋_GBK" w:cs="Times New Roman"/>
          <w:color w:val="000000"/>
          <w:sz w:val="32"/>
          <w:szCs w:val="32"/>
          <w:shd w:val="clear" w:color="auto" w:fill="FFFFFF"/>
        </w:rPr>
        <w:t>  为提高六安市城市园林绿化养护精细化管理水平，建立完善长效管理机制，根据国务院颁布的《城市绿化条例》、国家住建部印发的《园林绿化工程建设管理规定的通知》、《国家生态园林城市评定标准》和安徽省住房和城乡建设厅、安徽省质量技术监督局联合发布的《安徽省园林绿化养护管理标准》，结合我市实际，制定本办法。</w:t>
      </w:r>
    </w:p>
    <w:p w14:paraId="0145A146">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b/>
          <w:bCs/>
          <w:color w:val="000000"/>
          <w:sz w:val="32"/>
          <w:szCs w:val="32"/>
          <w:shd w:val="clear" w:color="auto" w:fill="FFFFFF"/>
        </w:rPr>
        <w:t>第二条</w:t>
      </w:r>
      <w:r>
        <w:rPr>
          <w:rFonts w:hint="default" w:ascii="Times New Roman" w:hAnsi="Times New Roman" w:eastAsia="方正仿宋_GBK" w:cs="Times New Roman"/>
          <w:color w:val="000000"/>
          <w:sz w:val="32"/>
          <w:szCs w:val="32"/>
          <w:shd w:val="clear" w:color="auto" w:fill="FFFFFF"/>
        </w:rPr>
        <w:t>  本办法适用于六安建成区市园林绿化主管部门直管范围的城市绿地养护管理工作。</w:t>
      </w:r>
    </w:p>
    <w:p w14:paraId="04DC5B79">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b/>
          <w:bCs/>
          <w:color w:val="000000"/>
          <w:sz w:val="32"/>
          <w:szCs w:val="32"/>
          <w:shd w:val="clear" w:color="auto" w:fill="FFFFFF"/>
        </w:rPr>
        <w:t>第三条</w:t>
      </w:r>
      <w:r>
        <w:rPr>
          <w:rFonts w:hint="default" w:ascii="Times New Roman" w:hAnsi="Times New Roman" w:eastAsia="方正仿宋_GBK" w:cs="Times New Roman"/>
          <w:color w:val="000000"/>
          <w:sz w:val="32"/>
          <w:szCs w:val="32"/>
          <w:shd w:val="clear" w:color="auto" w:fill="FFFFFF"/>
        </w:rPr>
        <w:t>  六安市园林绿化管理局负责城市建成区市本级养护管理的绿地考核管理工作。</w:t>
      </w:r>
    </w:p>
    <w:p w14:paraId="0291C543">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各绿化养护管理单位负责对城市绿化的日常养护管理，接受主管部门的考核和监督检查。</w:t>
      </w:r>
    </w:p>
    <w:p w14:paraId="7698CB4E">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b/>
          <w:bCs/>
          <w:color w:val="000000"/>
          <w:sz w:val="32"/>
          <w:szCs w:val="32"/>
          <w:shd w:val="clear" w:color="auto" w:fill="FFFFFF"/>
        </w:rPr>
        <w:t>第四条</w:t>
      </w:r>
      <w:r>
        <w:rPr>
          <w:rFonts w:hint="default" w:ascii="Times New Roman" w:hAnsi="Times New Roman" w:eastAsia="方正仿宋_GBK" w:cs="Times New Roman"/>
          <w:color w:val="000000"/>
          <w:sz w:val="32"/>
          <w:szCs w:val="32"/>
          <w:shd w:val="clear" w:color="auto" w:fill="FFFFFF"/>
        </w:rPr>
        <w:t>  六安市园林绿化管理局对在市本级从事园林绿化养护管理工作的企业进行登记备案并建立健全诚信档案。</w:t>
      </w:r>
    </w:p>
    <w:p w14:paraId="7CEEBF62">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方正黑体_GBK" w:hAnsi="方正黑体_GBK" w:eastAsia="方正黑体_GBK" w:cs="方正黑体_GBK"/>
          <w:color w:val="000000"/>
          <w:sz w:val="32"/>
          <w:szCs w:val="32"/>
          <w:shd w:val="clear" w:color="auto" w:fill="FFFFFF"/>
        </w:rPr>
      </w:pPr>
      <w:r>
        <w:rPr>
          <w:rFonts w:hint="default" w:ascii="方正黑体_GBK" w:hAnsi="方正黑体_GBK" w:eastAsia="方正黑体_GBK" w:cs="方正黑体_GBK"/>
          <w:color w:val="000000"/>
          <w:sz w:val="32"/>
          <w:szCs w:val="32"/>
          <w:shd w:val="clear" w:color="auto" w:fill="FFFFFF"/>
        </w:rPr>
        <w:t>第二章  考核内容及考核方式</w:t>
      </w:r>
    </w:p>
    <w:p w14:paraId="62A9F8A7">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b/>
          <w:bCs/>
          <w:color w:val="000000"/>
          <w:sz w:val="32"/>
          <w:szCs w:val="32"/>
          <w:shd w:val="clear" w:color="auto" w:fill="FFFFFF"/>
        </w:rPr>
        <w:t>第五条</w:t>
      </w:r>
      <w:r>
        <w:rPr>
          <w:rFonts w:hint="default" w:ascii="Times New Roman" w:hAnsi="Times New Roman" w:eastAsia="方正仿宋_GBK" w:cs="Times New Roman"/>
          <w:color w:val="000000"/>
          <w:sz w:val="32"/>
          <w:szCs w:val="32"/>
          <w:shd w:val="clear" w:color="auto" w:fill="FFFFFF"/>
        </w:rPr>
        <w:t>  考核内容：</w:t>
      </w:r>
    </w:p>
    <w:p w14:paraId="0697330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（一）公园绿地养护管理</w:t>
      </w:r>
    </w:p>
    <w:p w14:paraId="2A1BDEC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各类管理软件资料；项目养护管理人员配备及在岗情况；园林绿化养护管理、缺株补植及草花布置；园容园貌及环境卫生；水电使用管理；治安保卫及安全防范；建筑物、构筑物、地上地下管线、园林小品、电器等设施设备管理维修、维护、油漆等；各类应急工作等。</w:t>
      </w:r>
    </w:p>
    <w:p w14:paraId="532E2CA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（二）道路等附属绿地及防护绿地养护管理</w:t>
      </w:r>
    </w:p>
    <w:p w14:paraId="46939EF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各类管理软件资料；项目养护管理人员配备及在岗情况；园林绿化养护管理、缺株补植及草花栽植、更换及养护；护栏、园林小品的维修维护及油漆；环境卫生清扫保洁；安全防范；各类应急工作等。</w:t>
      </w:r>
    </w:p>
    <w:p w14:paraId="48E07DF5">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b/>
          <w:bCs/>
          <w:color w:val="000000"/>
          <w:sz w:val="32"/>
          <w:szCs w:val="32"/>
          <w:shd w:val="clear" w:color="auto" w:fill="FFFFFF"/>
        </w:rPr>
        <w:t>第六条</w:t>
      </w:r>
      <w:r>
        <w:rPr>
          <w:rFonts w:hint="default" w:ascii="Times New Roman" w:hAnsi="Times New Roman" w:eastAsia="方正仿宋_GBK" w:cs="Times New Roman"/>
          <w:color w:val="000000"/>
          <w:sz w:val="32"/>
          <w:szCs w:val="32"/>
          <w:shd w:val="clear" w:color="auto" w:fill="FFFFFF"/>
        </w:rPr>
        <w:t>  考核方式：采取“日常考核”、“综合考核”相结合的方式，实行按月累计扣分制度。其中日常考核占综合得分的50%，综合考核占综合得分的50%。</w:t>
      </w:r>
    </w:p>
    <w:p w14:paraId="74D5205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一）日常考核：由六安市园林绿化管理局相关业务科室组织对绿地进行日常巡查管理。及时发现并处置园林“事部件”问题。对日常巡查发现的问题建立台账，按考核标准予以扣分，实行消账制。“事部件”问题未按时消账的，由相关科室下达黄单（整改通知书）要求限期整改，同时报综合考评办备案。期限内仍未按要求整改的，报综合考评办下发红单（责令整改通知书）进行责令整改。月底将日常考核情况报综合考评办作为月考核综合扣分依据。</w:t>
      </w:r>
    </w:p>
    <w:p w14:paraId="59C8689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二）综合考核：每月一次，由六安市园林绿化管理局综合考评办负责组织。考核人员由六安市城市综合管理局、六安市园林绿化管理局随机组成。综合考核对各绿化养护管理单位的绿地养护质量进行全面检查考评。主要内容：月度各养护单位红、黄整改单、星级养护项目评定、应急管理（含市长热线、市效能办、市城管监督指挥中心数字化平台、新闻媒体等督查交办的问题、突发性应急事件、创建工作任务等）以及应急处置和安全生产管理工作。</w:t>
      </w:r>
    </w:p>
    <w:p w14:paraId="78A0CFAC">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b/>
          <w:bCs/>
          <w:color w:val="000000"/>
          <w:sz w:val="32"/>
          <w:szCs w:val="32"/>
          <w:shd w:val="clear" w:color="auto" w:fill="FFFFFF"/>
        </w:rPr>
        <w:t>第七条</w:t>
      </w:r>
      <w:r>
        <w:rPr>
          <w:rFonts w:hint="default" w:ascii="Times New Roman" w:hAnsi="Times New Roman" w:eastAsia="方正仿宋_GBK" w:cs="Times New Roman"/>
          <w:color w:val="000000"/>
          <w:sz w:val="32"/>
          <w:szCs w:val="32"/>
          <w:shd w:val="clear" w:color="auto" w:fill="FFFFFF"/>
        </w:rPr>
        <w:t>  考核结果运用：</w:t>
      </w:r>
    </w:p>
    <w:p w14:paraId="783E665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（一）养护管理经费：每月考核扣分按下列标准扣除相应养护管理经费：</w:t>
      </w:r>
    </w:p>
    <w:p w14:paraId="3ECD48BC">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 xml:space="preserve">扣0-50分的，每分值扣20元； </w:t>
      </w:r>
    </w:p>
    <w:p w14:paraId="31F45FF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 xml:space="preserve">扣51-100分的，每分值扣40元； </w:t>
      </w:r>
    </w:p>
    <w:p w14:paraId="571DE02F">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 xml:space="preserve">扣101-200分的，每分值扣60元； </w:t>
      </w:r>
    </w:p>
    <w:p w14:paraId="4CD6BAC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扣201分及以上的，每分值扣80元。</w:t>
      </w:r>
    </w:p>
    <w:p w14:paraId="6AAA5DA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（二）对下达红单（责令整改通知书）未能在期限内整改的，委托其他人员代为整改，所需整改经费按第三方测算价格，从该单位当月养护经费中直接扣除。</w:t>
      </w:r>
    </w:p>
    <w:p w14:paraId="2693C596">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b/>
          <w:bCs/>
          <w:color w:val="000000"/>
          <w:sz w:val="32"/>
          <w:szCs w:val="32"/>
          <w:shd w:val="clear" w:color="auto" w:fill="FFFFFF"/>
        </w:rPr>
        <w:t>第八条</w:t>
      </w:r>
      <w:r>
        <w:rPr>
          <w:rFonts w:hint="default" w:ascii="Times New Roman" w:hAnsi="Times New Roman" w:eastAsia="方正仿宋_GBK" w:cs="Times New Roman"/>
          <w:color w:val="000000"/>
          <w:sz w:val="32"/>
          <w:szCs w:val="32"/>
          <w:shd w:val="clear" w:color="auto" w:fill="FFFFFF"/>
        </w:rPr>
        <w:t>  建立企业诚信档案</w:t>
      </w:r>
    </w:p>
    <w:p w14:paraId="1D3B04A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（一）诚信档案的建立</w:t>
      </w:r>
    </w:p>
    <w:p w14:paraId="3BF3723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eastAsia" w:ascii="Times New Roman" w:hAnsi="Times New Roman" w:eastAsia="方正仿宋_GBK" w:cs="Times New Roman"/>
          <w:color w:val="000000"/>
          <w:sz w:val="32"/>
          <w:szCs w:val="32"/>
          <w:shd w:val="clear" w:color="auto" w:fill="FFFFFF"/>
          <w:lang w:val="en-US" w:eastAsia="zh-CN"/>
        </w:rPr>
        <w:t>1.</w:t>
      </w:r>
      <w:r>
        <w:rPr>
          <w:rFonts w:hint="default" w:ascii="Times New Roman" w:hAnsi="Times New Roman" w:eastAsia="方正仿宋_GBK" w:cs="Times New Roman"/>
          <w:color w:val="000000"/>
          <w:sz w:val="32"/>
          <w:szCs w:val="32"/>
          <w:shd w:val="clear" w:color="auto" w:fill="FFFFFF"/>
        </w:rPr>
        <w:t>不良行为记录：</w:t>
      </w:r>
    </w:p>
    <w:p w14:paraId="3A217012">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（1）下达黄单（整改通知书）2次或下达红单（责令整改通知书）1次，记不良记录1次。</w:t>
      </w:r>
    </w:p>
    <w:p w14:paraId="4E7A640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（2）发生安全责任事故（确属养护管理单位责任的），记不良记录1次。</w:t>
      </w:r>
    </w:p>
    <w:p w14:paraId="479F737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（3）绿地内发生大型毁绿案件，养护管理单位未能及时发现上报的，记不良记录1次。</w:t>
      </w:r>
    </w:p>
    <w:p w14:paraId="10B5DB2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（4）年度综合考评末位的，记不良记录1次。</w:t>
      </w:r>
    </w:p>
    <w:p w14:paraId="6C05AB6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2</w:t>
      </w:r>
      <w:r>
        <w:rPr>
          <w:rFonts w:hint="eastAsia" w:ascii="Times New Roman" w:hAnsi="Times New Roman" w:eastAsia="方正仿宋_GBK" w:cs="Times New Roman"/>
          <w:color w:val="000000"/>
          <w:sz w:val="32"/>
          <w:szCs w:val="32"/>
          <w:shd w:val="clear" w:color="auto" w:fill="FFFFFF"/>
          <w:lang w:val="en-US" w:eastAsia="zh-CN"/>
        </w:rPr>
        <w:t>.</w:t>
      </w:r>
      <w:r>
        <w:rPr>
          <w:rFonts w:hint="default" w:ascii="Times New Roman" w:hAnsi="Times New Roman" w:eastAsia="方正仿宋_GBK" w:cs="Times New Roman"/>
          <w:color w:val="000000"/>
          <w:sz w:val="32"/>
          <w:szCs w:val="32"/>
          <w:shd w:val="clear" w:color="auto" w:fill="FFFFFF"/>
        </w:rPr>
        <w:t>优秀加分记录：</w:t>
      </w:r>
    </w:p>
    <w:p w14:paraId="3810676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（1）获得六安市“映山红”杯园林绿地养护管理优秀项目，年度综合考评加2分。</w:t>
      </w:r>
    </w:p>
    <w:p w14:paraId="6A9682BE">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（2）积极参加园林主管部门举办的各类技能比赛，并获得优秀成绩的，年度综合考评按等次加1-3分。</w:t>
      </w:r>
    </w:p>
    <w:p w14:paraId="05E1345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（3）季度星级养护项目评比：获得优秀星级的，年度综合考评按等次加1-3分。</w:t>
      </w:r>
    </w:p>
    <w:p w14:paraId="6DB82A6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（4）年度综合考评根据每万平方米扣分排名、其他加分项等综合评定优秀养护项目。</w:t>
      </w:r>
    </w:p>
    <w:p w14:paraId="47B91FF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（二）诚信档案的运用</w:t>
      </w:r>
    </w:p>
    <w:p w14:paraId="05DCD5F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1</w:t>
      </w:r>
      <w:r>
        <w:rPr>
          <w:rFonts w:hint="eastAsia" w:ascii="Times New Roman" w:hAnsi="Times New Roman" w:eastAsia="方正仿宋_GBK" w:cs="Times New Roman"/>
          <w:color w:val="000000"/>
          <w:sz w:val="32"/>
          <w:szCs w:val="32"/>
          <w:shd w:val="clear" w:color="auto" w:fill="FFFFFF"/>
          <w:lang w:val="en-US" w:eastAsia="zh-CN"/>
        </w:rPr>
        <w:t>.</w:t>
      </w:r>
      <w:r>
        <w:rPr>
          <w:rFonts w:hint="default" w:ascii="Times New Roman" w:hAnsi="Times New Roman" w:eastAsia="方正仿宋_GBK" w:cs="Times New Roman"/>
          <w:color w:val="000000"/>
          <w:sz w:val="32"/>
          <w:szCs w:val="32"/>
          <w:shd w:val="clear" w:color="auto" w:fill="FFFFFF"/>
        </w:rPr>
        <w:t>连续6个月内不良记录累计2次或12个月内不良记录累计达3次，发包人有权终止合同并扣除履约保证金，由此所造成的损失由养护单位承担。发包人终止合同的项目，从获得优秀记录加分值最多的前3名企业中抽签确定养护管理单位，按原合同金额履行至合同期满。</w:t>
      </w:r>
    </w:p>
    <w:p w14:paraId="5D348FD9">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2</w:t>
      </w:r>
      <w:r>
        <w:rPr>
          <w:rFonts w:hint="eastAsia" w:ascii="Times New Roman" w:hAnsi="Times New Roman" w:eastAsia="方正仿宋_GBK" w:cs="Times New Roman"/>
          <w:color w:val="000000"/>
          <w:sz w:val="32"/>
          <w:szCs w:val="32"/>
          <w:shd w:val="clear" w:color="auto" w:fill="FFFFFF"/>
          <w:lang w:val="en-US" w:eastAsia="zh-CN"/>
        </w:rPr>
        <w:t>.</w:t>
      </w:r>
      <w:r>
        <w:rPr>
          <w:rFonts w:hint="default" w:ascii="Times New Roman" w:hAnsi="Times New Roman" w:eastAsia="方正仿宋_GBK" w:cs="Times New Roman"/>
          <w:color w:val="000000"/>
          <w:sz w:val="32"/>
          <w:szCs w:val="32"/>
          <w:shd w:val="clear" w:color="auto" w:fill="FFFFFF"/>
        </w:rPr>
        <w:t>1年内不良记录累计2次的养护单位，由招标监督管理部门给予6个月投标资格限制；不良记录累计3次的，由招标监督管理部门给予1年投标资格限制。</w:t>
      </w:r>
    </w:p>
    <w:p w14:paraId="4722F3E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color w:val="000000"/>
          <w:sz w:val="32"/>
          <w:szCs w:val="32"/>
          <w:shd w:val="clear" w:color="auto" w:fill="FFFFFF"/>
        </w:rPr>
        <w:t>在养护期内受到六安市人民政府、六安市城市综合管理局、六安市园林绿化管理局表彰且获得优秀记录加分值最多的养护项目，可采取3+X模式续签合同，顺延养护期限。</w:t>
      </w:r>
    </w:p>
    <w:p w14:paraId="285EB7DC">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方正黑体_GBK" w:hAnsi="方正黑体_GBK" w:eastAsia="方正黑体_GBK" w:cs="方正黑体_GBK"/>
          <w:color w:val="000000"/>
          <w:sz w:val="32"/>
          <w:szCs w:val="32"/>
          <w:shd w:val="clear" w:color="auto" w:fill="FFFFFF"/>
        </w:rPr>
      </w:pPr>
      <w:r>
        <w:rPr>
          <w:rFonts w:hint="default" w:ascii="方正黑体_GBK" w:hAnsi="方正黑体_GBK" w:eastAsia="方正黑体_GBK" w:cs="方正黑体_GBK"/>
          <w:color w:val="000000"/>
          <w:sz w:val="32"/>
          <w:szCs w:val="32"/>
          <w:shd w:val="clear" w:color="auto" w:fill="FFFFFF"/>
        </w:rPr>
        <w:t>第三章  附  则</w:t>
      </w:r>
    </w:p>
    <w:p w14:paraId="54639378">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color w:val="000000"/>
          <w:sz w:val="32"/>
          <w:szCs w:val="32"/>
          <w:shd w:val="clear" w:color="auto" w:fill="FFFFFF"/>
        </w:rPr>
      </w:pPr>
      <w:r>
        <w:rPr>
          <w:rFonts w:hint="default" w:ascii="Times New Roman" w:hAnsi="Times New Roman" w:eastAsia="方正仿宋_GBK" w:cs="Times New Roman"/>
          <w:b/>
          <w:bCs/>
          <w:color w:val="000000"/>
          <w:sz w:val="32"/>
          <w:szCs w:val="32"/>
          <w:shd w:val="clear" w:color="auto" w:fill="FFFFFF"/>
        </w:rPr>
        <w:t>第九条</w:t>
      </w:r>
      <w:r>
        <w:rPr>
          <w:rFonts w:hint="default" w:ascii="Times New Roman" w:hAnsi="Times New Roman" w:eastAsia="方正仿宋_GBK" w:cs="Times New Roman"/>
          <w:color w:val="000000"/>
          <w:sz w:val="32"/>
          <w:szCs w:val="32"/>
          <w:shd w:val="clear" w:color="auto" w:fill="FFFFFF"/>
        </w:rPr>
        <w:t>  本考核办法由六安市园林绿化管理局负责解释。</w:t>
      </w:r>
    </w:p>
    <w:p w14:paraId="4BE5AE9C">
      <w:pPr>
        <w:keepNext w:val="0"/>
        <w:keepLines w:val="0"/>
        <w:pageBreakBefore w:val="0"/>
        <w:widowControl w:val="0"/>
        <w:kinsoku/>
        <w:wordWrap/>
        <w:overflowPunct/>
        <w:topLinePunct w:val="0"/>
        <w:autoSpaceDE/>
        <w:autoSpaceDN/>
        <w:bidi w:val="0"/>
        <w:adjustRightInd/>
        <w:snapToGrid/>
        <w:spacing w:line="590" w:lineRule="exact"/>
        <w:ind w:firstLine="643" w:firstLineChars="200"/>
        <w:jc w:val="both"/>
        <w:textAlignment w:val="auto"/>
        <w:rPr>
          <w:rFonts w:hint="default" w:ascii="Times New Roman" w:hAnsi="Times New Roman" w:eastAsia="方正仿宋_GBK" w:cs="Times New Roman"/>
          <w:color w:val="000000"/>
          <w:sz w:val="32"/>
          <w:szCs w:val="32"/>
          <w:shd w:val="clear" w:color="auto" w:fill="FFFFFF"/>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default" w:ascii="Times New Roman" w:hAnsi="Times New Roman" w:eastAsia="方正仿宋_GBK" w:cs="Times New Roman"/>
          <w:b/>
          <w:bCs/>
          <w:color w:val="000000"/>
          <w:sz w:val="32"/>
          <w:szCs w:val="32"/>
          <w:shd w:val="clear" w:color="auto" w:fill="FFFFFF"/>
        </w:rPr>
        <w:t>第十条</w:t>
      </w:r>
      <w:r>
        <w:rPr>
          <w:rFonts w:hint="default" w:ascii="Times New Roman" w:hAnsi="Times New Roman" w:eastAsia="方正仿宋_GBK" w:cs="Times New Roman"/>
          <w:color w:val="000000"/>
          <w:sz w:val="32"/>
          <w:szCs w:val="32"/>
          <w:shd w:val="clear" w:color="auto" w:fill="FFFFFF"/>
        </w:rPr>
        <w:t>  本考核办法自发布之日起执行。原《六安市城市园林绿化管理考核办法》同时废止。</w:t>
      </w:r>
    </w:p>
    <w:p w14:paraId="1AF36C55">
      <w:pPr>
        <w:pageBreakBefore w:val="0"/>
        <w:kinsoku/>
        <w:overflowPunct/>
        <w:topLinePunct w:val="0"/>
        <w:autoSpaceDE/>
        <w:autoSpaceDN/>
        <w:bidi w:val="0"/>
        <w:spacing w:line="590" w:lineRule="exact"/>
        <w:jc w:val="center"/>
        <w:textAlignment w:val="auto"/>
        <w:rPr>
          <w:rFonts w:hint="eastAsia" w:ascii="方正大标宋简体" w:eastAsia="方正大标宋简体"/>
          <w:sz w:val="36"/>
          <w:szCs w:val="36"/>
        </w:rPr>
      </w:pPr>
    </w:p>
    <w:p w14:paraId="245BE37D">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六安市市本级园林绿化养护工作</w:t>
      </w:r>
    </w:p>
    <w:p w14:paraId="376AF440">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考核评分表</w:t>
      </w:r>
    </w:p>
    <w:tbl>
      <w:tblPr>
        <w:tblStyle w:val="8"/>
        <w:tblpPr w:leftFromText="180" w:rightFromText="180" w:vertAnchor="text" w:horzAnchor="page" w:tblpX="902" w:tblpY="590"/>
        <w:tblOverlap w:val="never"/>
        <w:tblW w:w="10140" w:type="dxa"/>
        <w:tblInd w:w="0" w:type="dxa"/>
        <w:tblLayout w:type="autofit"/>
        <w:tblCellMar>
          <w:top w:w="15" w:type="dxa"/>
          <w:left w:w="108" w:type="dxa"/>
          <w:bottom w:w="15" w:type="dxa"/>
          <w:right w:w="108" w:type="dxa"/>
        </w:tblCellMar>
      </w:tblPr>
      <w:tblGrid>
        <w:gridCol w:w="750"/>
        <w:gridCol w:w="780"/>
        <w:gridCol w:w="5175"/>
        <w:gridCol w:w="2625"/>
        <w:gridCol w:w="810"/>
      </w:tblGrid>
      <w:tr w14:paraId="4F52CE13">
        <w:tblPrEx>
          <w:tblCellMar>
            <w:top w:w="15" w:type="dxa"/>
            <w:left w:w="108" w:type="dxa"/>
            <w:bottom w:w="15" w:type="dxa"/>
            <w:right w:w="108" w:type="dxa"/>
          </w:tblCellMar>
        </w:tblPrEx>
        <w:trPr>
          <w:trHeight w:val="600" w:hRule="atLeast"/>
          <w:tblHeader/>
        </w:trPr>
        <w:tc>
          <w:tcPr>
            <w:tcW w:w="153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797118">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b/>
                <w:bCs/>
                <w:color w:val="191919"/>
                <w:kern w:val="0"/>
                <w:sz w:val="24"/>
                <w:szCs w:val="24"/>
              </w:rPr>
            </w:pPr>
            <w:r>
              <w:rPr>
                <w:rFonts w:hint="default" w:ascii="Times New Roman" w:hAnsi="Times New Roman" w:eastAsia="方正仿宋_GBK" w:cs="Times New Roman"/>
                <w:sz w:val="24"/>
                <w:szCs w:val="24"/>
              </w:rPr>
              <w:br w:type="page"/>
            </w:r>
            <w:r>
              <w:rPr>
                <w:rFonts w:hint="default" w:ascii="Times New Roman" w:hAnsi="Times New Roman" w:eastAsia="方正仿宋_GBK" w:cs="Times New Roman"/>
                <w:b/>
                <w:bCs/>
                <w:color w:val="191919"/>
                <w:kern w:val="0"/>
                <w:sz w:val="24"/>
                <w:szCs w:val="24"/>
              </w:rPr>
              <w:t>考核内容</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3D031B">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b/>
                <w:bCs/>
                <w:color w:val="191919"/>
                <w:kern w:val="0"/>
                <w:sz w:val="24"/>
                <w:szCs w:val="24"/>
              </w:rPr>
            </w:pPr>
            <w:r>
              <w:rPr>
                <w:rFonts w:hint="default" w:ascii="Times New Roman" w:hAnsi="Times New Roman" w:eastAsia="方正仿宋_GBK" w:cs="Times New Roman"/>
                <w:b/>
                <w:bCs/>
                <w:color w:val="191919"/>
                <w:kern w:val="0"/>
                <w:sz w:val="24"/>
                <w:szCs w:val="24"/>
              </w:rPr>
              <w:t>考  核  标  准</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A2727E">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b/>
                <w:bCs/>
                <w:color w:val="191919"/>
                <w:kern w:val="0"/>
                <w:sz w:val="24"/>
                <w:szCs w:val="24"/>
              </w:rPr>
            </w:pPr>
            <w:r>
              <w:rPr>
                <w:rFonts w:hint="default" w:ascii="Times New Roman" w:hAnsi="Times New Roman" w:eastAsia="方正仿宋_GBK" w:cs="Times New Roman"/>
                <w:b/>
                <w:bCs/>
                <w:color w:val="191919"/>
                <w:kern w:val="0"/>
                <w:sz w:val="24"/>
                <w:szCs w:val="24"/>
              </w:rPr>
              <w:t>扣分标准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E2E23E">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b/>
                <w:bCs/>
                <w:color w:val="191919"/>
                <w:kern w:val="0"/>
                <w:sz w:val="24"/>
                <w:szCs w:val="24"/>
              </w:rPr>
            </w:pPr>
            <w:r>
              <w:rPr>
                <w:rFonts w:hint="default" w:ascii="Times New Roman" w:hAnsi="Times New Roman" w:eastAsia="方正仿宋_GBK" w:cs="Times New Roman"/>
                <w:b/>
                <w:bCs/>
                <w:color w:val="191919"/>
                <w:kern w:val="0"/>
                <w:sz w:val="24"/>
                <w:szCs w:val="24"/>
              </w:rPr>
              <w:t>得分</w:t>
            </w:r>
          </w:p>
        </w:tc>
      </w:tr>
      <w:tr w14:paraId="620EDDB1">
        <w:tblPrEx>
          <w:tblCellMar>
            <w:top w:w="15" w:type="dxa"/>
            <w:left w:w="108" w:type="dxa"/>
            <w:bottom w:w="15" w:type="dxa"/>
            <w:right w:w="108" w:type="dxa"/>
          </w:tblCellMar>
        </w:tblPrEx>
        <w:trPr>
          <w:trHeight w:val="792" w:hRule="atLeast"/>
        </w:trPr>
        <w:tc>
          <w:tcPr>
            <w:tcW w:w="75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869C17">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软 件 管 理</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A9B9312">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基础资料</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60F786">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1、管理组织架构、内部规章制度、安全作业规范、业务学习培训、各类应急预案应规范齐全，接收的各项基础资料应归档立卷，保存完好。</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27F81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每缺一项扣10分。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10AAD1">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52306A18">
        <w:tblPrEx>
          <w:tblCellMar>
            <w:top w:w="15" w:type="dxa"/>
            <w:left w:w="108" w:type="dxa"/>
            <w:bottom w:w="15" w:type="dxa"/>
            <w:right w:w="108" w:type="dxa"/>
          </w:tblCellMar>
        </w:tblPrEx>
        <w:trPr>
          <w:trHeight w:val="825"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238DAAD">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573C50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C6A64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2、年度、季度、月度计划、总结完整连续，设施设备等基础设施维修台帐齐全、清晰。每年整理装订成册，编好目录，分类归档。</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2080C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每缺一项扣5分，未报送的每次扣2分，未按要求整理归档的，发现一次扣10分。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A0D50F">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05D88A4F">
        <w:tblPrEx>
          <w:tblCellMar>
            <w:top w:w="15" w:type="dxa"/>
            <w:left w:w="108" w:type="dxa"/>
            <w:bottom w:w="15" w:type="dxa"/>
            <w:right w:w="108" w:type="dxa"/>
          </w:tblCellMar>
        </w:tblPrEx>
        <w:trPr>
          <w:trHeight w:val="845"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66D1BE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5EC380">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上岗要求</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DBE65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救生员、安全员、水电工等特殊工种需持证上岗，并在业主单位备案。需要更换人员的，应及时到业主单位重新备案。</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33C021">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未按要求持证上岗并备案的，每人次扣5分。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E07BD4">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489826E9">
        <w:tblPrEx>
          <w:tblCellMar>
            <w:top w:w="15" w:type="dxa"/>
            <w:left w:w="108" w:type="dxa"/>
            <w:bottom w:w="15" w:type="dxa"/>
            <w:right w:w="108" w:type="dxa"/>
          </w:tblCellMar>
        </w:tblPrEx>
        <w:trPr>
          <w:trHeight w:val="1687" w:hRule="atLeast"/>
        </w:trPr>
        <w:tc>
          <w:tcPr>
            <w:tcW w:w="75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4F0573">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卫 生 保 洁</w:t>
            </w: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31DF3C">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绿地保洁</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8C675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园路、铺装地坪、绿地内无塑膜、无纸屑、无果皮、无烟头、无便迹、无杂物、无积水、无污迹。不得在绿地内焚烧垃圾、树木枝叶等。</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D3E9E5">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 xml:space="preserve">发现有塑膜、纸屑、果壳皮、烟头、便迹、杂物等，每发现一处扣1分。                      发现绿地被焚现象的，每㎡（不足1㎡按1㎡计算）扣1分，造成损失的限期恢复原状。                        </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8E15D2">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1C38E393">
        <w:tblPrEx>
          <w:tblCellMar>
            <w:top w:w="15" w:type="dxa"/>
            <w:left w:w="108" w:type="dxa"/>
            <w:bottom w:w="15" w:type="dxa"/>
            <w:right w:w="108" w:type="dxa"/>
          </w:tblCellMar>
        </w:tblPrEx>
        <w:trPr>
          <w:trHeight w:val="810"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2D0A026">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restart"/>
            <w:tcBorders>
              <w:top w:val="single" w:color="000000" w:sz="4" w:space="0"/>
              <w:left w:val="single" w:color="000000" w:sz="4" w:space="0"/>
              <w:right w:val="single" w:color="000000" w:sz="4" w:space="0"/>
            </w:tcBorders>
            <w:shd w:val="clear" w:color="auto" w:fill="FFFFFF"/>
            <w:noWrap w:val="0"/>
            <w:vAlign w:val="center"/>
          </w:tcPr>
          <w:p w14:paraId="4AFF8DD8">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水体保洁</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DB1D3E">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1、水质清洁、水面整洁，无漂物垃圾。</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7B87E9">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水面有杂物漂浮的扣1分；水质、水面不洁，发现一次扣10分。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49088B">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1DB240A9">
        <w:tblPrEx>
          <w:tblCellMar>
            <w:top w:w="15" w:type="dxa"/>
            <w:left w:w="108" w:type="dxa"/>
            <w:bottom w:w="15" w:type="dxa"/>
            <w:right w:w="108" w:type="dxa"/>
          </w:tblCellMar>
        </w:tblPrEx>
        <w:trPr>
          <w:trHeight w:val="495"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AF524E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right w:val="single" w:color="000000" w:sz="4" w:space="0"/>
            </w:tcBorders>
            <w:shd w:val="clear" w:color="auto" w:fill="auto"/>
            <w:noWrap w:val="0"/>
            <w:vAlign w:val="center"/>
          </w:tcPr>
          <w:p w14:paraId="2FE213B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9C3F925">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2、护栏安全牢固、清洁。</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DC7E3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未达要求，发现1处扣2分。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F857D8">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5176BE03">
        <w:tblPrEx>
          <w:tblCellMar>
            <w:top w:w="15" w:type="dxa"/>
            <w:left w:w="108" w:type="dxa"/>
            <w:bottom w:w="15" w:type="dxa"/>
            <w:right w:w="108" w:type="dxa"/>
          </w:tblCellMar>
        </w:tblPrEx>
        <w:trPr>
          <w:trHeight w:val="540"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788A15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right w:val="single" w:color="000000" w:sz="4" w:space="0"/>
            </w:tcBorders>
            <w:shd w:val="clear" w:color="auto" w:fill="auto"/>
            <w:noWrap w:val="0"/>
            <w:vAlign w:val="center"/>
          </w:tcPr>
          <w:p w14:paraId="45CE518D">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DE563C6">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3、安全警示标志醒目、完好清洁。</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4906A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未达要求，发现1处扣2分。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F818B7C">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37892693">
        <w:tblPrEx>
          <w:tblCellMar>
            <w:top w:w="15" w:type="dxa"/>
            <w:left w:w="108" w:type="dxa"/>
            <w:bottom w:w="15" w:type="dxa"/>
            <w:right w:w="108" w:type="dxa"/>
          </w:tblCellMar>
        </w:tblPrEx>
        <w:trPr>
          <w:trHeight w:val="861"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400502F">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1F4194">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设施保洁</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89D168">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座椅、围栏、果壳箱、园灯，园林道路、护坡等各种园林设施、建筑物、构筑物要保证无污物、无蛛网、无拴挂等，保持清洁卫生。</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53699A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发现一处扣1分。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3B94626">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36E5EC8D">
        <w:tblPrEx>
          <w:tblCellMar>
            <w:top w:w="15" w:type="dxa"/>
            <w:left w:w="108" w:type="dxa"/>
            <w:bottom w:w="15" w:type="dxa"/>
            <w:right w:w="108" w:type="dxa"/>
          </w:tblCellMar>
        </w:tblPrEx>
        <w:trPr>
          <w:trHeight w:val="387"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878C55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CAA712">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公厕保洁</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7EABA9">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全天免费开放厕所，每日清扫，全天保洁。厕内无异味、无蝇虫；门窗、墙壁、天花板无蛛网、涂抹、积尘和破损；洁具、照明灯具、门锁、挂钩完好；厕所指示牌清晰可见；洁具无积垢、无积便。</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401CB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未达要求，发现1处扣2分。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766FD3">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36643861">
        <w:tblPrEx>
          <w:tblCellMar>
            <w:top w:w="15" w:type="dxa"/>
            <w:left w:w="108" w:type="dxa"/>
            <w:bottom w:w="15" w:type="dxa"/>
            <w:right w:w="108" w:type="dxa"/>
          </w:tblCellMar>
        </w:tblPrEx>
        <w:trPr>
          <w:trHeight w:val="945" w:hRule="atLeast"/>
        </w:trPr>
        <w:tc>
          <w:tcPr>
            <w:tcW w:w="75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EC5B8FB">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设施管理</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5A80A07">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设施维护</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4D8A9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1、园林建（构）筑物的外观整洁完好，室内设施完整无损，结构、装修、设施安全、无隐患和渗漏，定期出新。</w:t>
            </w:r>
          </w:p>
        </w:tc>
        <w:tc>
          <w:tcPr>
            <w:tcW w:w="262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2EE4D78">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未达要求，发现1处扣5分。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5CC4CD">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2DE03573">
        <w:tblPrEx>
          <w:tblCellMar>
            <w:top w:w="15" w:type="dxa"/>
            <w:left w:w="108" w:type="dxa"/>
            <w:bottom w:w="15" w:type="dxa"/>
            <w:right w:w="108" w:type="dxa"/>
          </w:tblCellMar>
        </w:tblPrEx>
        <w:trPr>
          <w:trHeight w:val="1148"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ACBF6E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834C31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055E79">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2、园路、铺装无明显破损，无障碍设施完好、通畅，应急通道通畅；园路、铺装广场地坪清洁；暴雨结束后2小时园路、广场无明显积水。</w:t>
            </w:r>
          </w:p>
        </w:tc>
        <w:tc>
          <w:tcPr>
            <w:tcW w:w="2625"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729152E">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E3C13C">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3160031E">
        <w:tblPrEx>
          <w:tblCellMar>
            <w:top w:w="15" w:type="dxa"/>
            <w:left w:w="108" w:type="dxa"/>
            <w:bottom w:w="15" w:type="dxa"/>
            <w:right w:w="108" w:type="dxa"/>
          </w:tblCellMar>
        </w:tblPrEx>
        <w:trPr>
          <w:trHeight w:val="1035"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633E3F6">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219967D">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C647CF">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3、娱乐、健身设施应明示生产单位及使用要求、操作规程，严格遵守相关规定，及时检修，严禁带故障运行。</w:t>
            </w:r>
          </w:p>
        </w:tc>
        <w:tc>
          <w:tcPr>
            <w:tcW w:w="2625"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132118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E49BD98">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368524BF">
        <w:tblPrEx>
          <w:tblCellMar>
            <w:top w:w="15" w:type="dxa"/>
            <w:left w:w="108" w:type="dxa"/>
            <w:bottom w:w="15" w:type="dxa"/>
            <w:right w:w="108" w:type="dxa"/>
          </w:tblCellMar>
        </w:tblPrEx>
        <w:trPr>
          <w:trHeight w:val="1111" w:hRule="atLeast"/>
        </w:trPr>
        <w:tc>
          <w:tcPr>
            <w:tcW w:w="75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808F08">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设施管理</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6D7326">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设施维护</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78E3F66">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4、灯饰照明、音响广播与视频监控：确保亮灯率；设备安全运行；配电柜、输电线等定期检测、维护（确需采购配件，不能及时修复的，需及时向主管部门报备），维修时间不超过3天。</w:t>
            </w:r>
          </w:p>
        </w:tc>
        <w:tc>
          <w:tcPr>
            <w:tcW w:w="262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D86D29E">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未达要求，发现1处扣5分。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A7D39B3">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16C85C8B">
        <w:tblPrEx>
          <w:tblCellMar>
            <w:top w:w="15" w:type="dxa"/>
            <w:left w:w="108" w:type="dxa"/>
            <w:bottom w:w="15" w:type="dxa"/>
            <w:right w:w="108" w:type="dxa"/>
          </w:tblCellMar>
        </w:tblPrEx>
        <w:trPr>
          <w:trHeight w:val="851"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791855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F074F0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4BEF5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5、标识、标牌的设置合理，构件完整，无安全隐患；外饰面无脱落，字迹清晰；安全警示标志规范、醒目。</w:t>
            </w:r>
          </w:p>
        </w:tc>
        <w:tc>
          <w:tcPr>
            <w:tcW w:w="2625"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F0A6AA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22FB53">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5A8FAF4C">
        <w:tblPrEx>
          <w:tblCellMar>
            <w:top w:w="15" w:type="dxa"/>
            <w:left w:w="108" w:type="dxa"/>
            <w:bottom w:w="15" w:type="dxa"/>
            <w:right w:w="108" w:type="dxa"/>
          </w:tblCellMar>
        </w:tblPrEx>
        <w:trPr>
          <w:trHeight w:val="1244"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FF4EA4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CB52211">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842CA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6、给水、排水系统完整、通畅；暴雨后6小时内绿地内无明显积水；喷头完好；管道畅通，上水无污染，下水无堵塞，外露的窨井、给排水等设施完好，无安全隐患。</w:t>
            </w:r>
          </w:p>
        </w:tc>
        <w:tc>
          <w:tcPr>
            <w:tcW w:w="2625"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DA32388">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E66342">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4C0D98BC">
        <w:tblPrEx>
          <w:tblCellMar>
            <w:top w:w="15" w:type="dxa"/>
            <w:left w:w="108" w:type="dxa"/>
            <w:bottom w:w="15" w:type="dxa"/>
            <w:right w:w="108" w:type="dxa"/>
          </w:tblCellMar>
        </w:tblPrEx>
        <w:trPr>
          <w:trHeight w:val="773"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67795F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A0FEF7">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水电外接</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A053F9">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禁止从公园、广场私自接水电，临时性公益用电应经六安市城市园林绿化行政主管部门的批准。</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3DA0FE">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未经批准私自接水接电、故意浪费每次扣5分。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865DCD">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21D44559">
        <w:tblPrEx>
          <w:tblCellMar>
            <w:top w:w="15" w:type="dxa"/>
            <w:left w:w="108" w:type="dxa"/>
            <w:bottom w:w="15" w:type="dxa"/>
            <w:right w:w="108" w:type="dxa"/>
          </w:tblCellMar>
        </w:tblPrEx>
        <w:trPr>
          <w:trHeight w:val="1396" w:hRule="atLeast"/>
        </w:trPr>
        <w:tc>
          <w:tcPr>
            <w:tcW w:w="750" w:type="dxa"/>
            <w:vMerge w:val="restart"/>
            <w:tcBorders>
              <w:left w:val="single" w:color="000000" w:sz="4" w:space="0"/>
              <w:bottom w:val="single" w:color="000000" w:sz="4" w:space="0"/>
              <w:right w:val="single" w:color="000000" w:sz="4" w:space="0"/>
            </w:tcBorders>
            <w:shd w:val="clear" w:color="auto" w:fill="FFFFFF"/>
            <w:noWrap w:val="0"/>
            <w:vAlign w:val="center"/>
          </w:tcPr>
          <w:p w14:paraId="48B3A894">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人 员 配 备 及 安 全 防 范</w:t>
            </w: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72C5538">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人员配备</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BCA343B">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按招投标要求配备项目班子及养护管理人员，人员花名册应及时报至业主单位备案。</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7138DB">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未按要求配备相关人员或与前上岗要求不符，发现一次扣20分；未及时将花名册报至业主单位备案的，扣10分。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5B3520">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23A4309E">
        <w:tblPrEx>
          <w:tblCellMar>
            <w:top w:w="15" w:type="dxa"/>
            <w:left w:w="108" w:type="dxa"/>
            <w:bottom w:w="15" w:type="dxa"/>
            <w:right w:w="108" w:type="dxa"/>
          </w:tblCellMar>
        </w:tblPrEx>
        <w:trPr>
          <w:trHeight w:val="625" w:hRule="atLeast"/>
        </w:trPr>
        <w:tc>
          <w:tcPr>
            <w:tcW w:w="750" w:type="dxa"/>
            <w:vMerge w:val="continue"/>
            <w:tcBorders>
              <w:left w:val="single" w:color="000000" w:sz="4" w:space="0"/>
              <w:bottom w:val="single" w:color="000000" w:sz="4" w:space="0"/>
              <w:right w:val="single" w:color="000000" w:sz="4" w:space="0"/>
            </w:tcBorders>
            <w:shd w:val="clear" w:color="auto" w:fill="auto"/>
            <w:noWrap w:val="0"/>
            <w:vAlign w:val="center"/>
          </w:tcPr>
          <w:p w14:paraId="2A1F96D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417A13">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着装要求</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F544E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管理人员应佩戴标志，绿化、保安、保洁人员应按要求统一规范着装。</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B7743FE">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未按要求着装，发现1次扣10分。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143FF">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387124AC">
        <w:tblPrEx>
          <w:tblCellMar>
            <w:top w:w="15" w:type="dxa"/>
            <w:left w:w="108" w:type="dxa"/>
            <w:bottom w:w="15" w:type="dxa"/>
            <w:right w:w="108" w:type="dxa"/>
          </w:tblCellMar>
        </w:tblPrEx>
        <w:trPr>
          <w:trHeight w:val="1215" w:hRule="atLeast"/>
        </w:trPr>
        <w:tc>
          <w:tcPr>
            <w:tcW w:w="750" w:type="dxa"/>
            <w:vMerge w:val="continue"/>
            <w:tcBorders>
              <w:left w:val="single" w:color="000000" w:sz="4" w:space="0"/>
              <w:bottom w:val="single" w:color="000000" w:sz="4" w:space="0"/>
              <w:right w:val="single" w:color="000000" w:sz="4" w:space="0"/>
            </w:tcBorders>
            <w:shd w:val="clear" w:color="auto" w:fill="auto"/>
            <w:noWrap w:val="0"/>
            <w:vAlign w:val="center"/>
          </w:tcPr>
          <w:p w14:paraId="727412C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BC5CB5">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安全防范</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762A0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雨、雪等恶劣天气应在危险地段设置安全警示标识，管理人员应随时提醒游客注意安全。</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6742A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未按要求做好安全防范工作的，发现1次扣5分；发生安全事故的每次扣10分，记不良行为记录一次。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D197C2">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679DFC43">
        <w:tblPrEx>
          <w:tblCellMar>
            <w:top w:w="15" w:type="dxa"/>
            <w:left w:w="108" w:type="dxa"/>
            <w:bottom w:w="15" w:type="dxa"/>
            <w:right w:w="108" w:type="dxa"/>
          </w:tblCellMar>
        </w:tblPrEx>
        <w:trPr>
          <w:trHeight w:val="812" w:hRule="atLeast"/>
        </w:trPr>
        <w:tc>
          <w:tcPr>
            <w:tcW w:w="750" w:type="dxa"/>
            <w:vMerge w:val="continue"/>
            <w:tcBorders>
              <w:left w:val="single" w:color="000000" w:sz="4" w:space="0"/>
              <w:bottom w:val="single" w:color="000000" w:sz="4" w:space="0"/>
              <w:right w:val="single" w:color="000000" w:sz="4" w:space="0"/>
            </w:tcBorders>
            <w:shd w:val="clear" w:color="auto" w:fill="auto"/>
            <w:noWrap w:val="0"/>
            <w:vAlign w:val="center"/>
          </w:tcPr>
          <w:p w14:paraId="002B8785">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0FA3369">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车辆管理</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208085">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及时清理公共绿地的车辆、摊点，维持车辆在指定停车场有序停放，各种车辆不得进入绿地。</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111F6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公共秩序混乱每次扣5分。绿地内车辆乱停放，每次扣2分。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86C185">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000F9D31">
        <w:tblPrEx>
          <w:tblCellMar>
            <w:top w:w="15" w:type="dxa"/>
            <w:left w:w="108" w:type="dxa"/>
            <w:bottom w:w="15" w:type="dxa"/>
            <w:right w:w="108" w:type="dxa"/>
          </w:tblCellMar>
        </w:tblPrEx>
        <w:trPr>
          <w:trHeight w:val="755" w:hRule="atLeast"/>
        </w:trPr>
        <w:tc>
          <w:tcPr>
            <w:tcW w:w="750" w:type="dxa"/>
            <w:vMerge w:val="continue"/>
            <w:tcBorders>
              <w:left w:val="single" w:color="000000" w:sz="4" w:space="0"/>
              <w:bottom w:val="single" w:color="000000" w:sz="4" w:space="0"/>
              <w:right w:val="single" w:color="000000" w:sz="4" w:space="0"/>
            </w:tcBorders>
            <w:shd w:val="clear" w:color="auto" w:fill="auto"/>
            <w:noWrap w:val="0"/>
            <w:vAlign w:val="center"/>
          </w:tcPr>
          <w:p w14:paraId="3CFFA578">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A457724">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用电安全</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0A6571">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公共绿地应有电力专业技术人员定期对公共绿地内各种用电设备及线路进行安全检查，不得存在安全隐患。</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AE6A879">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用电设备及线路有损坏、漏电现象，发现一处扣10分。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0CC1CD">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58F78402">
        <w:tblPrEx>
          <w:tblCellMar>
            <w:top w:w="15" w:type="dxa"/>
            <w:left w:w="108" w:type="dxa"/>
            <w:bottom w:w="15" w:type="dxa"/>
            <w:right w:w="108" w:type="dxa"/>
          </w:tblCellMar>
        </w:tblPrEx>
        <w:trPr>
          <w:trHeight w:val="1427" w:hRule="atLeast"/>
        </w:trPr>
        <w:tc>
          <w:tcPr>
            <w:tcW w:w="750" w:type="dxa"/>
            <w:vMerge w:val="continue"/>
            <w:tcBorders>
              <w:left w:val="single" w:color="000000" w:sz="4" w:space="0"/>
              <w:bottom w:val="single" w:color="000000" w:sz="4" w:space="0"/>
              <w:right w:val="single" w:color="000000" w:sz="4" w:space="0"/>
            </w:tcBorders>
            <w:shd w:val="clear" w:color="auto" w:fill="auto"/>
            <w:noWrap w:val="0"/>
            <w:vAlign w:val="center"/>
          </w:tcPr>
          <w:p w14:paraId="7B0DA6A5">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2F1659">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对外形象</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AA418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严格管理、文明执勤。公共绿地内不得有游医、乞丐以及从事不文明活动的人员滞留；管理人员不得与游人发生纠纷，不得殴打、辱骂游人；景观水系四周不得有垂钓、洗涮等不文明行为。</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464EF4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未按要求，发现一次扣5分。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793100">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1AC74F03">
        <w:tblPrEx>
          <w:tblCellMar>
            <w:top w:w="15" w:type="dxa"/>
            <w:left w:w="108" w:type="dxa"/>
            <w:bottom w:w="15" w:type="dxa"/>
            <w:right w:w="108" w:type="dxa"/>
          </w:tblCellMar>
        </w:tblPrEx>
        <w:trPr>
          <w:trHeight w:val="1260" w:hRule="atLeast"/>
        </w:trPr>
        <w:tc>
          <w:tcPr>
            <w:tcW w:w="750" w:type="dxa"/>
            <w:vMerge w:val="continue"/>
            <w:tcBorders>
              <w:left w:val="single" w:color="000000" w:sz="4" w:space="0"/>
              <w:bottom w:val="single" w:color="000000" w:sz="4" w:space="0"/>
              <w:right w:val="single" w:color="000000" w:sz="4" w:space="0"/>
            </w:tcBorders>
            <w:shd w:val="clear" w:color="auto" w:fill="auto"/>
            <w:noWrap w:val="0"/>
            <w:vAlign w:val="center"/>
          </w:tcPr>
          <w:p w14:paraId="6AEB81DF">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CEB258">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活动管理</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39B4C5F">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公共绿地内未经市城市园林绿化行政主管部门书面批准不得举行各种广告活动，设立广告，指示牌等设施。</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766EFAD">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未批举办的每次扣10分，并限期负责拆除。否则，扣发1000元以上5000元以下养护费。</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073291">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76D6FF2B">
        <w:tblPrEx>
          <w:tblCellMar>
            <w:top w:w="15" w:type="dxa"/>
            <w:left w:w="108" w:type="dxa"/>
            <w:bottom w:w="15" w:type="dxa"/>
            <w:right w:w="108" w:type="dxa"/>
          </w:tblCellMar>
        </w:tblPrEx>
        <w:trPr>
          <w:trHeight w:val="1636" w:hRule="atLeast"/>
        </w:trPr>
        <w:tc>
          <w:tcPr>
            <w:tcW w:w="75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015C519">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养 护 管 理</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462396">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修剪</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B3FC2D">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行道树：                                        树形美观，高度一致，树干正直；同一路段分支点高度合理、一致，下缘线整齐；对道路交通标志、架空线等无遮挡、无妨碍；</w:t>
            </w:r>
            <w:r>
              <w:rPr>
                <w:rFonts w:hint="default" w:ascii="Times New Roman" w:hAnsi="Times New Roman" w:eastAsia="方正仿宋_GBK" w:cs="Times New Roman"/>
                <w:color w:val="000000"/>
                <w:kern w:val="0"/>
                <w:sz w:val="24"/>
                <w:szCs w:val="24"/>
              </w:rPr>
              <w:br w:type="textWrapping"/>
            </w:r>
            <w:r>
              <w:rPr>
                <w:rFonts w:hint="default" w:ascii="Times New Roman" w:hAnsi="Times New Roman" w:eastAsia="方正仿宋_GBK" w:cs="Times New Roman"/>
                <w:color w:val="000000"/>
                <w:kern w:val="0"/>
                <w:sz w:val="24"/>
                <w:szCs w:val="24"/>
              </w:rPr>
              <w:t>无死树、无缺株，全年正常生长，无枯枝、断枝、生长不良枝、无萌生的芽条。</w:t>
            </w:r>
          </w:p>
        </w:tc>
        <w:tc>
          <w:tcPr>
            <w:tcW w:w="2625"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D7073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1.冬季乔木未按要求进行整形修剪的扣10分，修剪不及时、不达标等扣5分。                                     2、乔、灌木、水生植物、竹类等苗木的萌蘖枝、下垂枝、枯枝等未及时清除的，每株扣1分；                               3.绿篱修剪不及时的，每㎡扣2分。修剪不达标的，每㎡扣1分。                            4.草坪未及时修剪，生长高度超过8cm的每㎡扣2分，修剪后草坪高度过低导致枯黄的每㎡扣1分。                             5、修剪后的草屑、枝叶没有及时清理的，发现一处扣1分。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24676D">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0262D4A8">
        <w:tblPrEx>
          <w:tblCellMar>
            <w:top w:w="15" w:type="dxa"/>
            <w:left w:w="108" w:type="dxa"/>
            <w:bottom w:w="15" w:type="dxa"/>
            <w:right w:w="108" w:type="dxa"/>
          </w:tblCellMar>
        </w:tblPrEx>
        <w:trPr>
          <w:trHeight w:val="1155"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723FFF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47BBC9D">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F61B6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绿篱整形灌木：                                         直线正直，曲线圆滑，轮廓和线条清晰流畅；生长健壮，花繁叶茂，规格一致；密度适宜，修剪整齐，无缺枝、枯枝。</w:t>
            </w:r>
          </w:p>
        </w:tc>
        <w:tc>
          <w:tcPr>
            <w:tcW w:w="2625"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94E948B">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314D6D">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26C225C5">
        <w:tblPrEx>
          <w:tblCellMar>
            <w:top w:w="15" w:type="dxa"/>
            <w:left w:w="108" w:type="dxa"/>
            <w:bottom w:w="15" w:type="dxa"/>
            <w:right w:w="108" w:type="dxa"/>
          </w:tblCellMar>
        </w:tblPrEx>
        <w:trPr>
          <w:trHeight w:val="1432"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02C3A8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CA69A5B">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54F75E">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孤植树、特殊要求的乔灌木（孤植、造型、点缀等）：树姿优美，观赏价值高；观花、观果植物适时开花结果，色叶树种季相变化明显；生长健壮，无枯枝、断枝、生长不良、无萌生的芽条。</w:t>
            </w:r>
          </w:p>
        </w:tc>
        <w:tc>
          <w:tcPr>
            <w:tcW w:w="2625"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35D315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0E4416">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3095A681">
        <w:tblPrEx>
          <w:tblCellMar>
            <w:top w:w="15" w:type="dxa"/>
            <w:left w:w="108" w:type="dxa"/>
            <w:bottom w:w="15" w:type="dxa"/>
            <w:right w:w="108" w:type="dxa"/>
          </w:tblCellMar>
        </w:tblPrEx>
        <w:trPr>
          <w:trHeight w:val="1159"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401D03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E582CF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5BCA4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草坪地被：生长茂盛、色泽均匀、无空秃、无杂草；表面平坦、整洁，边缘清晰、线条流畅；草坪成坪高度冷季型草坪8cm以下，暖季型草坪5cm以下。</w:t>
            </w:r>
          </w:p>
        </w:tc>
        <w:tc>
          <w:tcPr>
            <w:tcW w:w="2625"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BE06A1E">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031367">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1D0312AD">
        <w:tblPrEx>
          <w:tblCellMar>
            <w:top w:w="15" w:type="dxa"/>
            <w:left w:w="108" w:type="dxa"/>
            <w:bottom w:w="15" w:type="dxa"/>
            <w:right w:w="108" w:type="dxa"/>
          </w:tblCellMar>
        </w:tblPrEx>
        <w:trPr>
          <w:trHeight w:val="615"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4E71CE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EBB612E">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8A441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水生植物：密度适宜，通风透光；枯萎枝叶修剪、清理及时。</w:t>
            </w:r>
          </w:p>
        </w:tc>
        <w:tc>
          <w:tcPr>
            <w:tcW w:w="2625"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AAB342F">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4422FC1">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7BC63C6C">
        <w:tblPrEx>
          <w:tblCellMar>
            <w:top w:w="15" w:type="dxa"/>
            <w:left w:w="108" w:type="dxa"/>
            <w:bottom w:w="15" w:type="dxa"/>
            <w:right w:w="108" w:type="dxa"/>
          </w:tblCellMar>
        </w:tblPrEx>
        <w:trPr>
          <w:trHeight w:val="930"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5E304DB">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1B100B9">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5FB52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竹类：竹龄结构合理，疏密得当，景观优美；生长健壮，无死株、无花絮，无弱笋、病笋；竹鞭无裸露，竹丛通风透光。</w:t>
            </w:r>
          </w:p>
        </w:tc>
        <w:tc>
          <w:tcPr>
            <w:tcW w:w="2625"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0C9F986">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CCAA55">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44823235">
        <w:tblPrEx>
          <w:tblCellMar>
            <w:top w:w="15" w:type="dxa"/>
            <w:left w:w="108" w:type="dxa"/>
            <w:bottom w:w="15" w:type="dxa"/>
            <w:right w:w="108" w:type="dxa"/>
          </w:tblCellMar>
        </w:tblPrEx>
        <w:trPr>
          <w:trHeight w:val="845"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206ACA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6955007">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中耕</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4572F5">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行道树树池、分车带树木根盘（为坛宽二分之一）、公园及景观带乔木与中等灌木根盘（胸径或地径十倍）范围内不得有杂草和堆积物，保持平整并及时松土。</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5B7F29">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未按要求操作的，每株扣2分。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73B786">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16B6F29F">
        <w:tblPrEx>
          <w:tblCellMar>
            <w:top w:w="15" w:type="dxa"/>
            <w:left w:w="108" w:type="dxa"/>
            <w:bottom w:w="15" w:type="dxa"/>
            <w:right w:w="108" w:type="dxa"/>
          </w:tblCellMar>
        </w:tblPrEx>
        <w:trPr>
          <w:trHeight w:val="429"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F860C8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DB50D5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DC6FE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色块苗木应及时中耕，保持土壤疏松。</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831BC35">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未按要求中耕松土，每㎡扣2分。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3530451">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2827DD0A">
        <w:tblPrEx>
          <w:tblCellMar>
            <w:top w:w="15" w:type="dxa"/>
            <w:left w:w="108" w:type="dxa"/>
            <w:bottom w:w="15" w:type="dxa"/>
            <w:right w:w="108" w:type="dxa"/>
          </w:tblCellMar>
        </w:tblPrEx>
        <w:trPr>
          <w:trHeight w:val="815"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03972EB">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0EB2608">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D17DBD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绿篱及花灌木色带与草坪地被植物之间应保持界线清晰、线条流畅。</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D25EDC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未按要求操作的，每处扣2分。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17A9D1">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7C071ABA">
        <w:tblPrEx>
          <w:tblCellMar>
            <w:top w:w="15" w:type="dxa"/>
            <w:left w:w="108" w:type="dxa"/>
            <w:bottom w:w="15" w:type="dxa"/>
            <w:right w:w="108" w:type="dxa"/>
          </w:tblCellMar>
        </w:tblPrEx>
        <w:trPr>
          <w:trHeight w:val="450"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833FD6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AA9652">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除草</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3FB11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杂草高度不得超过绿篱、花灌木、球类。</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E400E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 xml:space="preserve">未达要求的，每㎡扣2分。                                  </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A81135B">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04DA410F">
        <w:tblPrEx>
          <w:tblCellMar>
            <w:top w:w="15" w:type="dxa"/>
            <w:left w:w="108" w:type="dxa"/>
            <w:bottom w:w="15" w:type="dxa"/>
            <w:right w:w="108" w:type="dxa"/>
          </w:tblCellMar>
        </w:tblPrEx>
        <w:trPr>
          <w:trHeight w:val="397"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80606F1">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A6B44B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263BD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草坪内杂草不得超过5‰。草坪内混杂其他品种草坪的应视为杂草予以清除。</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44331F">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未按要求操作的，按照杂草未及时清除予以扣分，每㎡2分。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288EF1">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70DEAB42">
        <w:tblPrEx>
          <w:tblCellMar>
            <w:top w:w="15" w:type="dxa"/>
            <w:left w:w="108" w:type="dxa"/>
            <w:bottom w:w="15" w:type="dxa"/>
            <w:right w:w="108" w:type="dxa"/>
          </w:tblCellMar>
        </w:tblPrEx>
        <w:trPr>
          <w:trHeight w:val="870"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E12708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850A19">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施肥</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ED0658">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乔木、灌木、绿篱应根据生长情况每年施肥不得少于1次，草花每年施肥3—4次，草坪每年施肥4—5次。</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59463B">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未按要求操作的，每减少一次扣5分。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F0E1F4">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0D44D25B">
        <w:tblPrEx>
          <w:tblCellMar>
            <w:top w:w="15" w:type="dxa"/>
            <w:left w:w="108" w:type="dxa"/>
            <w:bottom w:w="15" w:type="dxa"/>
            <w:right w:w="108" w:type="dxa"/>
          </w:tblCellMar>
        </w:tblPrEx>
        <w:trPr>
          <w:trHeight w:val="1920"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0756511">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3104CC">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病虫害  防治</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AB52B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病虫害控制应及时，园林树木无蛀干害虫的活卵、活虫，枝叶上每平方米活虫数不得超过1头，平均被害株数不得超过1%，无虫粪、虫网，被虫咬的叶片每株不得超过2%。</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EBE009">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未按要求操作的造成植株受害，乔灌木每株扣2分，绿篱色带每㎡扣2分。因病虫害防治不及时造成景观效果受损的，每发现1处扣发养护费1500元。</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134656">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66802447">
        <w:tblPrEx>
          <w:tblCellMar>
            <w:top w:w="15" w:type="dxa"/>
            <w:left w:w="108" w:type="dxa"/>
            <w:bottom w:w="15" w:type="dxa"/>
            <w:right w:w="108" w:type="dxa"/>
          </w:tblCellMar>
        </w:tblPrEx>
        <w:trPr>
          <w:trHeight w:val="840"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4C0B51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B5899E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5608A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冬季按规范要求对乔灌木进行涂白。</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90660AD">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未按时完成的，扣10分；未按规范要求操作的，每株扣1分。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5FE6EA">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6E20AB86">
        <w:tblPrEx>
          <w:tblCellMar>
            <w:top w:w="15" w:type="dxa"/>
            <w:left w:w="108" w:type="dxa"/>
            <w:bottom w:w="15" w:type="dxa"/>
            <w:right w:w="108" w:type="dxa"/>
          </w:tblCellMar>
        </w:tblPrEx>
        <w:trPr>
          <w:trHeight w:val="877"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DDD18AE">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6248F3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C70916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病虫害防治应按《农药操作规程》进行作业，避开人流和高温。</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88D73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未按《农药操作规程》作业的每次扣10分；造成药害，引起园林植物死亡的，每次扣20分。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CFF3676">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17FD3BAA">
        <w:tblPrEx>
          <w:tblCellMar>
            <w:top w:w="15" w:type="dxa"/>
            <w:left w:w="108" w:type="dxa"/>
            <w:bottom w:w="15" w:type="dxa"/>
            <w:right w:w="108" w:type="dxa"/>
          </w:tblCellMar>
        </w:tblPrEx>
        <w:trPr>
          <w:trHeight w:val="805" w:hRule="atLeast"/>
        </w:trPr>
        <w:tc>
          <w:tcPr>
            <w:tcW w:w="75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32CF5F">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养 护 管 理</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FEE93BF">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花卉更换</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0709E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宿根花卉如美人蕉等应在秋季及时将球茎挖起贮存，到开春时再及时栽植。</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B6BBF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未按要求操作的每㎡扣2分。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FFBE6F">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76E538AE">
        <w:tblPrEx>
          <w:tblCellMar>
            <w:top w:w="15" w:type="dxa"/>
            <w:left w:w="108" w:type="dxa"/>
            <w:bottom w:w="15" w:type="dxa"/>
            <w:right w:w="108" w:type="dxa"/>
          </w:tblCellMar>
        </w:tblPrEx>
        <w:trPr>
          <w:trHeight w:val="1095"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A057EF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A4C2D0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B97B241">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每年应及时按质更换花坛草花，保持花繁、叶茂、长势整齐、不露黄土。草花缺株应及时补植，确保景观。</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0B3A379">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花材及栽植养护质量不合格每次扣10分；未及时补植的，每缺1㎡（不足1㎡按1㎡计算）扣1分。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51CD2F">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320B023E">
        <w:tblPrEx>
          <w:tblCellMar>
            <w:top w:w="15" w:type="dxa"/>
            <w:left w:w="108" w:type="dxa"/>
            <w:bottom w:w="15" w:type="dxa"/>
            <w:right w:w="108" w:type="dxa"/>
          </w:tblCellMar>
        </w:tblPrEx>
        <w:trPr>
          <w:trHeight w:val="873"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793A17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F78F79">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绿地补植</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774A3C8">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绿地内乔、灌木无死株、枯株；地被植物黄土不露天，整体景观好。</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6C465D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未达要求，每株扣2分；地被每㎡扣1分。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6366F6">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1FB2C072">
        <w:tblPrEx>
          <w:tblCellMar>
            <w:top w:w="15" w:type="dxa"/>
            <w:left w:w="108" w:type="dxa"/>
            <w:bottom w:w="15" w:type="dxa"/>
            <w:right w:w="108" w:type="dxa"/>
          </w:tblCellMar>
        </w:tblPrEx>
        <w:trPr>
          <w:trHeight w:val="821"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AD7834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F691294">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树木防护</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6AE745">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严禁在树木及园林设施上钉钉子、绕铁丝、挂杂物或作为施工的支撑点。</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CBB6B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发现1处扣2分。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14788D">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68A714C6">
        <w:tblPrEx>
          <w:tblCellMar>
            <w:top w:w="15" w:type="dxa"/>
            <w:left w:w="108" w:type="dxa"/>
            <w:bottom w:w="15" w:type="dxa"/>
            <w:right w:w="108" w:type="dxa"/>
          </w:tblCellMar>
        </w:tblPrEx>
        <w:trPr>
          <w:trHeight w:val="573"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57F84E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25F82FD">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EB112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树木倾斜应及时扶正，并不得有损伤。同时设立支撑、浇灌定根水。支撑须牢固、美观。</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ED287A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发现1株扣1分；未及时扶正浇灌造成死亡的，每次扣发养护费1000元。</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C1A2B06">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56BA0307">
        <w:tblPrEx>
          <w:tblCellMar>
            <w:top w:w="15" w:type="dxa"/>
            <w:left w:w="108" w:type="dxa"/>
            <w:bottom w:w="15" w:type="dxa"/>
            <w:right w:w="108" w:type="dxa"/>
          </w:tblCellMar>
        </w:tblPrEx>
        <w:trPr>
          <w:trHeight w:val="698"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3FBFD6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60AA96E">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90B9B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枯死枝、修剪后的枝条、碎片应及时清理。</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2682EFF">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发现1次扣2分。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C3C5325">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7F106A87">
        <w:tblPrEx>
          <w:tblCellMar>
            <w:top w:w="15" w:type="dxa"/>
            <w:left w:w="108" w:type="dxa"/>
            <w:bottom w:w="15" w:type="dxa"/>
            <w:right w:w="108" w:type="dxa"/>
          </w:tblCellMar>
        </w:tblPrEx>
        <w:trPr>
          <w:trHeight w:val="1733"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C10A7F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8F55BB5">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绿地管理</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AF7D05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公共绿地内未经批准不得有堆放物料、搭棚等损坏侵占绿地，损伤园林树木的行为，不得在公共绿地内摆摊设点，叫买叫卖。一经发现，承包人应及时制止并立即向发包人报告。</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53114D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发现一处扣5分。发现隐瞒不报或私自处理的，从当月养护费中扣发2000元以上5000元以下，同时由承包人负责修复。</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7FEB0F1">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0FF3F355">
        <w:tblPrEx>
          <w:tblCellMar>
            <w:top w:w="15" w:type="dxa"/>
            <w:left w:w="108" w:type="dxa"/>
            <w:bottom w:w="15" w:type="dxa"/>
            <w:right w:w="108" w:type="dxa"/>
          </w:tblCellMar>
        </w:tblPrEx>
        <w:trPr>
          <w:trHeight w:val="810"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6AE048F">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3E8324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063340F">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按要求时限及时办结数字化城管信息平台信息并及时回复。</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ECC0A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否则每次扣5分。核查不属实每次扣10分，记录不良记录1次。</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7D5360E">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7DD9628C">
        <w:tblPrEx>
          <w:tblCellMar>
            <w:top w:w="15" w:type="dxa"/>
            <w:left w:w="108" w:type="dxa"/>
            <w:bottom w:w="15" w:type="dxa"/>
            <w:right w:w="108" w:type="dxa"/>
          </w:tblCellMar>
        </w:tblPrEx>
        <w:trPr>
          <w:trHeight w:val="3421"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3A2D3AB">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796088">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应急处置</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338D7B5">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建立健全应急养护管理机制，遇到干旱、大风、暴雨、大雪等恶劣天气应及时启动应急预案，按要求配备人员、车辆以及其他应急设备，且无条件响应发包人安排。</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0DDFB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未及时晌应发包人安排的，记不良记录一次；</w:t>
            </w:r>
          </w:p>
          <w:p w14:paraId="472FD1B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未按要求完成应急任务的扣20分；                         因处置不力造成乔木、大灌木受到损伤的，每株扣5分；造成乔灌木死亡的每株扣10分，并负责恢复；</w:t>
            </w:r>
          </w:p>
          <w:p w14:paraId="245B1D34">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因处置不力造成地被色块受到损伤的每平方米扣2分，造成色块死亡的每平方米扣5分，并负责恢复。</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CAA8FC">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39729355">
        <w:tblPrEx>
          <w:tblCellMar>
            <w:top w:w="15" w:type="dxa"/>
            <w:left w:w="108" w:type="dxa"/>
            <w:bottom w:w="15" w:type="dxa"/>
            <w:right w:w="108" w:type="dxa"/>
          </w:tblCellMar>
        </w:tblPrEx>
        <w:trPr>
          <w:trHeight w:val="1396"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2C57E3D">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170FC08">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DB80A5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交通事故应急处理，2小时内将苗木扶正或清理到位，并上报具体损失情况。</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77A3487">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未发现或未及时上报损失情况的扣5分；私自处理的，从养护费中扣发1000元以上5000元以下，同时由承包人负责恢复。</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ED320D6">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0366570E">
        <w:tblPrEx>
          <w:tblCellMar>
            <w:top w:w="15" w:type="dxa"/>
            <w:left w:w="108" w:type="dxa"/>
            <w:bottom w:w="15" w:type="dxa"/>
            <w:right w:w="108" w:type="dxa"/>
          </w:tblCellMar>
        </w:tblPrEx>
        <w:trPr>
          <w:trHeight w:val="600"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503B4C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9D040B0">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5FDF13">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对古树名木、 不耐寒的树种和树势较弱的植株应分别采取不同的防寒措施。</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79608B">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未按要求采取措施的，每次扣5分。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54F8D7">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5B83CEB2">
        <w:tblPrEx>
          <w:tblCellMar>
            <w:top w:w="15" w:type="dxa"/>
            <w:left w:w="108" w:type="dxa"/>
            <w:bottom w:w="15" w:type="dxa"/>
            <w:right w:w="108" w:type="dxa"/>
          </w:tblCellMar>
        </w:tblPrEx>
        <w:trPr>
          <w:trHeight w:val="2221"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B4BF11E">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9EC73E7">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行政许可监管</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B721498">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加强对行政许可的监管，承包人要严格按照审批时间、面积对行政许可施工单位进行绿地开挖监管的，同时做好安全文明施工的监督。</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B465E7B">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因监管不到位造成以下情形：                           未按照许可要求的时间、位置、面积开挖的扣10分；                            施工中垃圾任意堆放、损坏绿地苗木的扣5分；                            许可施工完成后垃圾未及时清理的扣3分。</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8CB9AD">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p>
        </w:tc>
      </w:tr>
      <w:tr w14:paraId="1E4538CD">
        <w:tblPrEx>
          <w:tblCellMar>
            <w:top w:w="15" w:type="dxa"/>
            <w:left w:w="108" w:type="dxa"/>
            <w:bottom w:w="15" w:type="dxa"/>
            <w:right w:w="108" w:type="dxa"/>
          </w:tblCellMar>
        </w:tblPrEx>
        <w:trPr>
          <w:trHeight w:val="420"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227D695">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9461BA5">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其他</w:t>
            </w: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53B49C6">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黄单（整改通知书）</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3AA60D4">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每下达一次，扣10分。</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797DDD52">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u w:val="single"/>
              </w:rPr>
            </w:pPr>
          </w:p>
        </w:tc>
      </w:tr>
      <w:tr w14:paraId="132A83C3">
        <w:tblPrEx>
          <w:tblCellMar>
            <w:top w:w="15" w:type="dxa"/>
            <w:left w:w="108" w:type="dxa"/>
            <w:bottom w:w="15" w:type="dxa"/>
            <w:right w:w="108" w:type="dxa"/>
          </w:tblCellMar>
        </w:tblPrEx>
        <w:trPr>
          <w:trHeight w:val="420" w:hRule="atLeast"/>
        </w:trPr>
        <w:tc>
          <w:tcPr>
            <w:tcW w:w="75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99A829C">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CC39A2A">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rPr>
            </w:pPr>
          </w:p>
        </w:tc>
        <w:tc>
          <w:tcPr>
            <w:tcW w:w="51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FA4A7DC">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红单（责令整改通知书）</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CBB0764">
            <w:pPr>
              <w:pageBreakBefore w:val="0"/>
              <w:widowControl/>
              <w:kinsoku/>
              <w:overflowPunct/>
              <w:topLinePunct w:val="0"/>
              <w:autoSpaceDE/>
              <w:autoSpaceDN/>
              <w:bidi w:val="0"/>
              <w:spacing w:line="590" w:lineRule="exact"/>
              <w:jc w:val="center"/>
              <w:textAlignment w:val="auto"/>
              <w:rPr>
                <w:rFonts w:hint="default" w:ascii="Times New Roman" w:hAnsi="Times New Roman" w:eastAsia="方正仿宋_GBK" w:cs="Times New Roman"/>
                <w:color w:val="000000"/>
                <w:kern w:val="0"/>
                <w:sz w:val="24"/>
                <w:szCs w:val="24"/>
              </w:rPr>
            </w:pPr>
            <w:r>
              <w:rPr>
                <w:rFonts w:hint="default" w:ascii="Times New Roman" w:hAnsi="Times New Roman" w:eastAsia="方正仿宋_GBK" w:cs="Times New Roman"/>
                <w:color w:val="000000"/>
                <w:kern w:val="0"/>
                <w:sz w:val="24"/>
                <w:szCs w:val="24"/>
              </w:rPr>
              <w:t>每下达一次，扣20分。</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568250D6">
            <w:pPr>
              <w:pageBreakBefore w:val="0"/>
              <w:widowControl/>
              <w:kinsoku/>
              <w:overflowPunct/>
              <w:topLinePunct w:val="0"/>
              <w:autoSpaceDE/>
              <w:autoSpaceDN/>
              <w:bidi w:val="0"/>
              <w:spacing w:line="590" w:lineRule="exact"/>
              <w:jc w:val="left"/>
              <w:textAlignment w:val="auto"/>
              <w:rPr>
                <w:rFonts w:hint="default" w:ascii="Times New Roman" w:hAnsi="Times New Roman" w:eastAsia="方正仿宋_GBK" w:cs="Times New Roman"/>
                <w:color w:val="000000"/>
                <w:kern w:val="0"/>
                <w:sz w:val="24"/>
                <w:szCs w:val="24"/>
                <w:u w:val="single"/>
              </w:rPr>
            </w:pPr>
          </w:p>
        </w:tc>
      </w:tr>
    </w:tbl>
    <w:p w14:paraId="17A020BB">
      <w:pPr>
        <w:pageBreakBefore w:val="0"/>
        <w:kinsoku/>
        <w:overflowPunct/>
        <w:topLinePunct w:val="0"/>
        <w:autoSpaceDE/>
        <w:autoSpaceDN/>
        <w:bidi w:val="0"/>
        <w:adjustRightInd w:val="0"/>
        <w:snapToGrid w:val="0"/>
        <w:spacing w:line="590" w:lineRule="exact"/>
        <w:ind w:firstLine="640" w:firstLineChars="200"/>
        <w:textAlignment w:val="auto"/>
        <w:rPr>
          <w:rFonts w:hint="default" w:ascii="仿宋_GB2312" w:hAnsi="仿宋" w:eastAsia="仿宋_GB2312"/>
          <w:sz w:val="32"/>
          <w:szCs w:val="32"/>
        </w:rPr>
      </w:pPr>
    </w:p>
    <w:bookmarkEnd w:id="0"/>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黑体_GBK">
    <w:panose1 w:val="03000509000000000000"/>
    <w:charset w:val="86"/>
    <w:family w:val="auto"/>
    <w:pitch w:val="default"/>
    <w:sig w:usb0="00000001" w:usb1="080E0000" w:usb2="00000000" w:usb3="00000000" w:csb0="00040000" w:csb1="00000000"/>
  </w:font>
  <w:font w:name="方正大标宋简体">
    <w:altName w:val="微软雅黑"/>
    <w:panose1 w:val="02010601030101010101"/>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850E9C">
    <w:pPr>
      <w:pStyle w:val="5"/>
      <w:jc w:val="right"/>
      <w:rPr>
        <w:rStyle w:val="10"/>
        <w:rFonts w:hint="eastAsia" w:ascii="Times New Roman" w:hAnsi="Times New Roman" w:eastAsia="宋体" w:cs="Times New Roman"/>
        <w:sz w:val="28"/>
        <w:szCs w:val="32"/>
      </w:rPr>
    </w:pPr>
    <w:r>
      <w:rPr>
        <w:rStyle w:val="10"/>
        <w:rFonts w:hint="eastAsia" w:ascii="Times New Roman" w:hAnsi="Times New Roman" w:eastAsia="宋体" w:cs="Times New Roman"/>
        <w:sz w:val="28"/>
        <w:szCs w:val="32"/>
      </w:rPr>
      <w:t xml:space="preserve">— </w:t>
    </w:r>
    <w:r>
      <w:rPr>
        <w:rStyle w:val="10"/>
        <w:rFonts w:hint="eastAsia" w:ascii="Times New Roman" w:hAnsi="Times New Roman" w:eastAsia="宋体" w:cs="Times New Roman"/>
        <w:sz w:val="28"/>
        <w:szCs w:val="32"/>
      </w:rPr>
      <w:fldChar w:fldCharType="begin"/>
    </w:r>
    <w:r>
      <w:rPr>
        <w:rStyle w:val="10"/>
        <w:rFonts w:hint="eastAsia" w:ascii="Times New Roman" w:hAnsi="Times New Roman" w:eastAsia="宋体" w:cs="Times New Roman"/>
        <w:sz w:val="28"/>
        <w:szCs w:val="32"/>
      </w:rPr>
      <w:instrText xml:space="preserve">PAGE  </w:instrText>
    </w:r>
    <w:r>
      <w:rPr>
        <w:rStyle w:val="10"/>
        <w:rFonts w:hint="eastAsia" w:ascii="Times New Roman" w:hAnsi="Times New Roman" w:eastAsia="宋体" w:cs="Times New Roman"/>
        <w:sz w:val="28"/>
        <w:szCs w:val="32"/>
      </w:rPr>
      <w:fldChar w:fldCharType="separate"/>
    </w:r>
    <w:r>
      <w:rPr>
        <w:rStyle w:val="10"/>
        <w:rFonts w:hint="eastAsia" w:ascii="Times New Roman" w:hAnsi="Times New Roman" w:eastAsia="宋体" w:cs="Times New Roman"/>
        <w:sz w:val="28"/>
        <w:szCs w:val="32"/>
      </w:rPr>
      <w:t>6</w:t>
    </w:r>
    <w:r>
      <w:rPr>
        <w:rStyle w:val="10"/>
        <w:rFonts w:hint="eastAsia" w:ascii="Times New Roman" w:hAnsi="Times New Roman" w:eastAsia="宋体" w:cs="Times New Roman"/>
        <w:sz w:val="28"/>
        <w:szCs w:val="32"/>
      </w:rPr>
      <w:fldChar w:fldCharType="end"/>
    </w:r>
    <w:r>
      <w:rPr>
        <w:rStyle w:val="10"/>
        <w:rFonts w:hint="eastAsia" w:ascii="Times New Roman" w:hAnsi="Times New Roman" w:eastAsia="宋体" w:cs="Times New Roman"/>
        <w:sz w:val="28"/>
        <w:szCs w:val="32"/>
      </w:rPr>
      <w:t xml:space="preserve"> —</w:t>
    </w:r>
  </w:p>
  <w:p w14:paraId="63C571A0">
    <w:pPr>
      <w:pStyle w:val="5"/>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-8255</wp:posOffset>
              </wp:positionH>
              <wp:positionV relativeFrom="paragraph">
                <wp:posOffset>191770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65pt;margin-top:15.1pt;height:0.15pt;width:425.2pt;z-index:251660288;mso-width-relative:page;mso-height-relative:page;" filled="f" stroked="t" coordsize="21600,21600" o:gfxdata="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JRbf/UAAAACAEAAA8A&#10;AAAAAAAAAQAgAAAAIgAAAGRycy9kb3ducmV2LnhtbFBLAQIUABQAAAAIAIdO4kD0P31X4gEAAKwD&#10;AAAOAAAAAAAAAAEAIAAAACMBAABkcnMvZTJvRG9jLnhtbFBLBQYAAAAABgAGAFkBAAB3BQ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30897A89">
    <w:pPr>
      <w:pStyle w:val="5"/>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w:t>
    </w:r>
    <w:r>
      <w:rPr>
        <w:rFonts w:hint="eastAsia" w:ascii="宋体" w:hAnsi="宋体" w:eastAsia="宋体" w:cs="宋体"/>
        <w:b/>
        <w:bCs/>
        <w:color w:val="005192"/>
        <w:sz w:val="28"/>
        <w:szCs w:val="44"/>
        <w:lang w:eastAsia="zh-CN"/>
      </w:rPr>
      <w:t>城市管理行政执法局</w:t>
    </w:r>
    <w:r>
      <w:rPr>
        <w:rFonts w:hint="eastAsia" w:ascii="宋体" w:hAnsi="宋体" w:eastAsia="宋体" w:cs="宋体"/>
        <w:b/>
        <w:bCs/>
        <w:color w:val="005192"/>
        <w:sz w:val="28"/>
        <w:szCs w:val="44"/>
      </w:rPr>
      <w:t>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ABE55B">
    <w:pPr>
      <w:pStyle w:val="6"/>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334645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55pt;margin-top:26.35pt;height:0pt;width:425.2pt;z-index:251659264;mso-width-relative:page;mso-height-relative:page;" filled="f" stroked="t" coordsize="21600,21600" o:gfxdata="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zGA9LU&#10;AAAACAEAAA8AAAAAAAAAAQAgAAAAIgAAAGRycy9kb3ducmV2LnhtbFBLAQIUABQAAAAIAIdO4kA7&#10;PdZy6wEAALQDAAAOAAAAAAAAAAEAIAAAACMBAABkcnMvZTJvRG9jLnhtbFBLBQYAAAAABgAGAFkB&#10;AACABQ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w:t>
    </w:r>
    <w:r>
      <w:rPr>
        <w:rFonts w:hint="eastAsia" w:ascii="宋体" w:hAnsi="宋体" w:eastAsia="宋体" w:cs="宋体"/>
        <w:b/>
        <w:bCs/>
        <w:color w:val="005192"/>
        <w:sz w:val="32"/>
        <w:lang w:eastAsia="zh-CN"/>
      </w:rPr>
      <w:t>城市管理行政执法局</w:t>
    </w:r>
    <w:r>
      <w:rPr>
        <w:rFonts w:hint="eastAsia" w:ascii="宋体" w:hAnsi="宋体" w:eastAsia="宋体" w:cs="宋体"/>
        <w:b/>
        <w:bCs/>
        <w:color w:val="005192"/>
        <w:sz w:val="32"/>
      </w:rPr>
      <w:t>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2YjExMWQyZTU1ZDI2ZTYwMDczMzY2NTkxZjVhYWYifQ=="/>
  </w:docVars>
  <w:rsids>
    <w:rsidRoot w:val="00DC2D7B"/>
    <w:rsid w:val="00DC2D7B"/>
    <w:rsid w:val="09813E5B"/>
    <w:rsid w:val="0AF12AF9"/>
    <w:rsid w:val="0F6111C8"/>
    <w:rsid w:val="128751ED"/>
    <w:rsid w:val="12A10A77"/>
    <w:rsid w:val="1765666F"/>
    <w:rsid w:val="374B2423"/>
    <w:rsid w:val="41740BF6"/>
    <w:rsid w:val="58004CC2"/>
    <w:rsid w:val="5AEF35B4"/>
    <w:rsid w:val="6ECE1671"/>
    <w:rsid w:val="71DD39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2">
    <w:name w:val="heading 2"/>
    <w:basedOn w:val="1"/>
    <w:next w:val="1"/>
    <w:qFormat/>
    <w:uiPriority w:val="0"/>
    <w:pPr>
      <w:keepNext/>
      <w:keepLines/>
      <w:spacing w:before="260" w:after="260" w:line="416" w:lineRule="auto"/>
      <w:outlineLvl w:val="1"/>
    </w:pPr>
    <w:rPr>
      <w:rFonts w:ascii="Arial" w:hAnsi="Arial" w:eastAsia="黑体"/>
      <w:b/>
      <w:szCs w:val="3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annotation text"/>
    <w:basedOn w:val="1"/>
    <w:qFormat/>
    <w:uiPriority w:val="0"/>
    <w:pPr>
      <w:jc w:val="left"/>
    </w:pPr>
    <w:rPr>
      <w:kern w:val="0"/>
      <w:sz w:val="20"/>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page number"/>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7169;&#26495;%20-%20&#21103;&#26412;%20(6)%20-%20&#21103;&#26412;.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模板 - 副本 (6) - 副本.docx</Template>
  <Pages>16</Pages>
  <Words>6010</Words>
  <Characters>6119</Characters>
  <Lines>0</Lines>
  <Paragraphs>0</Paragraphs>
  <TotalTime>27</TotalTime>
  <ScaleCrop>false</ScaleCrop>
  <LinksUpToDate>false</LinksUpToDate>
  <CharactersWithSpaces>6579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2022-11-01T01:26:00Z</dcterms:created>
  <dc:creator>达文西</dc:creator>
  <cp:lastModifiedBy>Administrator</cp:lastModifiedBy>
  <dcterms:modified xsi:type="dcterms:W3CDTF">2024-08-07T01:46:51Z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49E3E0A4E0034C868BB0DA21818530DE_13</vt:lpwstr>
  </property>
</Properties>
</file>