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0597D2A">
      <w:pPr>
        <w:rPr>
          <w:rFonts w:hint="default"/>
        </w:rPr>
      </w:pPr>
    </w:p>
    <w:p w14:paraId="2C1A6648">
      <w:pPr>
        <w:bidi w:val="0"/>
        <w:rPr>
          <w:rFonts w:hint="default" w:asciiTheme="minorHAnsi" w:hAnsiTheme="minorHAnsi" w:eastAsiaTheme="minorEastAsia" w:cstheme="minorBidi"/>
          <w:kern w:val="2"/>
          <w:sz w:val="21"/>
          <w:szCs w:val="24"/>
          <w:lang w:val="en-US" w:eastAsia="zh-CN" w:bidi="ar-SA"/>
        </w:rPr>
      </w:pPr>
    </w:p>
    <w:p w14:paraId="3D463ADC">
      <w:pPr>
        <w:bidi w:val="0"/>
        <w:rPr>
          <w:rFonts w:hint="default"/>
          <w:lang w:val="en-US" w:eastAsia="zh-CN"/>
        </w:rPr>
      </w:pPr>
    </w:p>
    <w:p w14:paraId="2E0C5E6A">
      <w:pPr>
        <w:bidi w:val="0"/>
        <w:rPr>
          <w:rFonts w:hint="default"/>
          <w:lang w:val="en-US" w:eastAsia="zh-CN"/>
        </w:rPr>
      </w:pPr>
    </w:p>
    <w:p w14:paraId="669AB2D2">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小标宋_GBK" w:cs="Times New Roman"/>
          <w:color w:val="000000"/>
          <w:sz w:val="44"/>
          <w:szCs w:val="44"/>
          <w:shd w:val="clear" w:color="auto" w:fill="FFFFFF"/>
          <w:lang w:val="en-US" w:eastAsia="zh-CN"/>
        </w:rPr>
      </w:pPr>
      <w:r>
        <w:rPr>
          <w:rFonts w:hint="default" w:ascii="Times New Roman" w:hAnsi="Times New Roman" w:eastAsia="方正小标宋_GBK" w:cs="Times New Roman"/>
          <w:color w:val="000000"/>
          <w:sz w:val="44"/>
          <w:szCs w:val="44"/>
          <w:shd w:val="clear" w:color="auto" w:fill="FFFFFF"/>
          <w:lang w:val="en-US" w:eastAsia="zh-CN"/>
        </w:rPr>
        <w:t>关于印发《六安市业主委员会履职清单》的通</w:t>
      </w:r>
      <w:r>
        <w:rPr>
          <w:rFonts w:hint="eastAsia" w:ascii="Times New Roman" w:hAnsi="Times New Roman" w:eastAsia="方正小标宋_GBK" w:cs="Times New Roman"/>
          <w:color w:val="000000"/>
          <w:sz w:val="44"/>
          <w:szCs w:val="44"/>
          <w:shd w:val="clear" w:color="auto" w:fill="FFFFFF"/>
          <w:lang w:val="en-US" w:eastAsia="zh-CN"/>
        </w:rPr>
        <w:t xml:space="preserve">  </w:t>
      </w:r>
      <w:r>
        <w:rPr>
          <w:rFonts w:hint="default" w:ascii="Times New Roman" w:hAnsi="Times New Roman" w:eastAsia="方正小标宋_GBK" w:cs="Times New Roman"/>
          <w:color w:val="000000"/>
          <w:sz w:val="44"/>
          <w:szCs w:val="44"/>
          <w:shd w:val="clear" w:color="auto" w:fill="FFFFFF"/>
          <w:lang w:val="en-US" w:eastAsia="zh-CN"/>
        </w:rPr>
        <w:t>知</w:t>
      </w:r>
    </w:p>
    <w:p w14:paraId="3615CB61">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default" w:ascii="Times New Roman" w:hAnsi="Times New Roman" w:eastAsia="仿宋_GB2312" w:cs="Times New Roman"/>
          <w:color w:val="000000"/>
          <w:sz w:val="32"/>
          <w:szCs w:val="32"/>
          <w:lang w:bidi="ar"/>
        </w:rPr>
      </w:pPr>
      <w:r>
        <w:rPr>
          <w:rFonts w:hint="default" w:ascii="Times New Roman" w:hAnsi="Times New Roman" w:eastAsia="仿宋_GB2312" w:cs="Times New Roman"/>
          <w:color w:val="000000"/>
          <w:sz w:val="32"/>
          <w:szCs w:val="32"/>
          <w:lang w:bidi="ar"/>
        </w:rPr>
        <w:t>六城管函〔2024〕80号</w:t>
      </w:r>
    </w:p>
    <w:p w14:paraId="1A7D59D3">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default" w:ascii="Times New Roman" w:hAnsi="Times New Roman" w:eastAsia="仿宋_GB2312" w:cs="Times New Roman"/>
          <w:color w:val="000000"/>
          <w:sz w:val="32"/>
          <w:szCs w:val="32"/>
          <w:lang w:bidi="ar"/>
        </w:rPr>
      </w:pPr>
    </w:p>
    <w:p w14:paraId="09F81333">
      <w:pPr>
        <w:keepNext w:val="0"/>
        <w:keepLines w:val="0"/>
        <w:pageBreakBefore w:val="0"/>
        <w:kinsoku/>
        <w:overflowPunct/>
        <w:topLinePunct w:val="0"/>
        <w:autoSpaceDN/>
        <w:bidi w:val="0"/>
        <w:adjustRightInd/>
        <w:snapToGrid/>
        <w:spacing w:line="590" w:lineRule="exact"/>
        <w:ind w:left="0" w:leftChars="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各县区城管局，市物业管理指导中心：</w:t>
      </w:r>
    </w:p>
    <w:p w14:paraId="6846A898">
      <w:pPr>
        <w:keepNext w:val="0"/>
        <w:keepLines w:val="0"/>
        <w:pageBreakBefore w:val="0"/>
        <w:kinsoku/>
        <w:overflowPunct/>
        <w:topLinePunct w:val="0"/>
        <w:autoSpaceDN/>
        <w:bidi w:val="0"/>
        <w:adjustRightInd/>
        <w:snapToGrid/>
        <w:spacing w:line="590" w:lineRule="exact"/>
        <w:ind w:left="0" w:leftChars="0" w:firstLine="640" w:firstLineChars="200"/>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color w:val="000000"/>
          <w:sz w:val="32"/>
          <w:szCs w:val="32"/>
        </w:rPr>
        <w:t>为进一步规范业主委员会履职，促进物业管理服务水平提升，根据《物业管理条例》《安徽省物业管理条例》《六安市物业管理条例》等法律法规，我局制定了《六安市业主委员会履职清单》，现印发给你们，请做好指导监督和贯彻落实工作。</w:t>
      </w:r>
    </w:p>
    <w:p w14:paraId="4A1BFF5D">
      <w:pPr>
        <w:keepNext w:val="0"/>
        <w:keepLines w:val="0"/>
        <w:pageBreakBefore w:val="0"/>
        <w:kinsoku/>
        <w:overflowPunct/>
        <w:topLinePunct w:val="0"/>
        <w:autoSpaceDN/>
        <w:bidi w:val="0"/>
        <w:adjustRightInd/>
        <w:snapToGrid/>
        <w:spacing w:line="590" w:lineRule="exact"/>
        <w:ind w:left="0" w:leftChars="0" w:firstLine="640" w:firstLineChars="200"/>
        <w:rPr>
          <w:rFonts w:hint="default" w:ascii="Times New Roman" w:hAnsi="Times New Roman" w:eastAsia="方正仿宋_GBK" w:cs="Times New Roman"/>
          <w:color w:val="000000"/>
          <w:sz w:val="32"/>
          <w:szCs w:val="32"/>
          <w:shd w:val="clear" w:color="auto" w:fill="FFFFFF"/>
        </w:rPr>
      </w:pPr>
    </w:p>
    <w:p w14:paraId="470F499B">
      <w:pPr>
        <w:keepNext w:val="0"/>
        <w:keepLines w:val="0"/>
        <w:pageBreakBefore w:val="0"/>
        <w:kinsoku/>
        <w:overflowPunct/>
        <w:topLinePunct w:val="0"/>
        <w:autoSpaceDN/>
        <w:bidi w:val="0"/>
        <w:adjustRightInd/>
        <w:snapToGrid/>
        <w:spacing w:line="590" w:lineRule="exact"/>
        <w:ind w:left="0" w:leftChars="0" w:firstLine="640" w:firstLineChars="200"/>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color w:val="000000"/>
          <w:sz w:val="32"/>
          <w:szCs w:val="32"/>
        </w:rPr>
        <w:t>附件：《六安市业主委员会履职清单》</w:t>
      </w:r>
    </w:p>
    <w:p w14:paraId="674E85DE">
      <w:pPr>
        <w:keepNext w:val="0"/>
        <w:keepLines w:val="0"/>
        <w:pageBreakBefore w:val="0"/>
        <w:kinsoku/>
        <w:overflowPunct/>
        <w:topLinePunct w:val="0"/>
        <w:autoSpaceDN/>
        <w:bidi w:val="0"/>
        <w:adjustRightInd/>
        <w:snapToGrid/>
        <w:spacing w:line="590" w:lineRule="exact"/>
        <w:ind w:left="0" w:leftChars="0" w:firstLine="640" w:firstLineChars="200"/>
        <w:rPr>
          <w:rFonts w:hint="default" w:ascii="Times New Roman" w:hAnsi="Times New Roman" w:eastAsia="方正仿宋_GBK" w:cs="Times New Roman"/>
          <w:sz w:val="32"/>
          <w:szCs w:val="32"/>
        </w:rPr>
      </w:pPr>
    </w:p>
    <w:p w14:paraId="6657309E">
      <w:pPr>
        <w:keepNext w:val="0"/>
        <w:keepLines w:val="0"/>
        <w:pageBreakBefore w:val="0"/>
        <w:kinsoku/>
        <w:overflowPunct/>
        <w:topLinePunct w:val="0"/>
        <w:autoSpaceDN/>
        <w:bidi w:val="0"/>
        <w:adjustRightInd/>
        <w:snapToGrid/>
        <w:spacing w:line="590" w:lineRule="exact"/>
        <w:ind w:left="0" w:leftChars="0" w:firstLine="640" w:firstLineChars="200"/>
        <w:rPr>
          <w:rFonts w:hint="default" w:ascii="Times New Roman" w:hAnsi="Times New Roman" w:eastAsia="方正仿宋_GBK" w:cs="Times New Roman"/>
          <w:sz w:val="32"/>
          <w:szCs w:val="32"/>
        </w:rPr>
      </w:pPr>
    </w:p>
    <w:p w14:paraId="7462D9CB">
      <w:pPr>
        <w:keepNext w:val="0"/>
        <w:keepLines w:val="0"/>
        <w:pageBreakBefore w:val="0"/>
        <w:kinsoku/>
        <w:wordWrap w:val="0"/>
        <w:overflowPunct/>
        <w:topLinePunct w:val="0"/>
        <w:autoSpaceDN/>
        <w:bidi w:val="0"/>
        <w:adjustRightInd/>
        <w:snapToGrid/>
        <w:spacing w:line="590" w:lineRule="exact"/>
        <w:ind w:left="0" w:leftChars="0" w:firstLine="640" w:firstLineChars="200"/>
        <w:jc w:val="right"/>
        <w:rPr>
          <w:rFonts w:hint="default" w:ascii="Times New Roman" w:hAnsi="Times New Roman" w:eastAsia="方正仿宋_GBK" w:cs="Times New Roman"/>
          <w:sz w:val="32"/>
          <w:szCs w:val="32"/>
          <w:lang w:val="en-US" w:eastAsia="zh-CN"/>
        </w:rPr>
      </w:pPr>
      <w:r>
        <w:rPr>
          <w:rFonts w:hint="eastAsia" w:ascii="Times New Roman" w:hAnsi="Times New Roman" w:eastAsia="方正仿宋_GBK" w:cs="Times New Roman"/>
          <w:sz w:val="32"/>
          <w:szCs w:val="32"/>
          <w:lang w:eastAsia="zh-CN"/>
        </w:rPr>
        <w:t>六安市城市管理局</w:t>
      </w:r>
      <w:r>
        <w:rPr>
          <w:rFonts w:hint="eastAsia" w:ascii="Times New Roman" w:hAnsi="Times New Roman" w:eastAsia="方正仿宋_GBK" w:cs="Times New Roman"/>
          <w:sz w:val="32"/>
          <w:szCs w:val="32"/>
          <w:lang w:val="en-US" w:eastAsia="zh-CN"/>
        </w:rPr>
        <w:t xml:space="preserve">    </w:t>
      </w:r>
    </w:p>
    <w:p w14:paraId="12DEA547">
      <w:pPr>
        <w:wordWrap w:val="0"/>
        <w:bidi w:val="0"/>
        <w:ind w:firstLine="418" w:firstLineChars="0"/>
        <w:jc w:val="right"/>
        <w:rPr>
          <w:rFonts w:hint="default" w:ascii="Times New Roman" w:hAnsi="Times New Roman" w:eastAsia="方正仿宋_GBK" w:cs="Times New Roman"/>
          <w:sz w:val="32"/>
          <w:szCs w:val="32"/>
          <w:lang w:val="en-US" w:eastAsia="zh-CN"/>
        </w:rPr>
        <w:sectPr>
          <w:headerReference r:id="rId3" w:type="default"/>
          <w:footerReference r:id="rId4" w:type="default"/>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r>
        <w:rPr>
          <w:rFonts w:hint="default" w:ascii="Times New Roman" w:hAnsi="Times New Roman" w:eastAsia="方正仿宋_GBK" w:cs="Times New Roman"/>
          <w:sz w:val="32"/>
          <w:szCs w:val="32"/>
        </w:rPr>
        <w:t>2024年7月9日</w:t>
      </w:r>
      <w:r>
        <w:rPr>
          <w:rFonts w:hint="eastAsia" w:ascii="Times New Roman" w:hAnsi="Times New Roman" w:eastAsia="方正仿宋_GBK" w:cs="Times New Roman"/>
          <w:sz w:val="32"/>
          <w:szCs w:val="32"/>
          <w:lang w:val="en-US" w:eastAsia="zh-CN"/>
        </w:rPr>
        <w:t xml:space="preserve">    </w:t>
      </w:r>
      <w:bookmarkStart w:id="0" w:name="_GoBack"/>
      <w:bookmarkEnd w:id="0"/>
      <w:r>
        <w:rPr>
          <w:rFonts w:hint="eastAsia" w:ascii="Times New Roman" w:hAnsi="Times New Roman" w:eastAsia="方正仿宋_GBK" w:cs="Times New Roman"/>
          <w:sz w:val="32"/>
          <w:szCs w:val="32"/>
          <w:lang w:val="en-US" w:eastAsia="zh-CN"/>
        </w:rPr>
        <w:t xml:space="preserve"> </w:t>
      </w:r>
    </w:p>
    <w:p w14:paraId="30512F16">
      <w:pPr>
        <w:keepNext w:val="0"/>
        <w:keepLines w:val="0"/>
        <w:pageBreakBefore w:val="0"/>
        <w:kinsoku/>
        <w:overflowPunct/>
        <w:topLinePunct w:val="0"/>
        <w:autoSpaceDN/>
        <w:bidi w:val="0"/>
        <w:adjustRightInd/>
        <w:snapToGrid/>
        <w:spacing w:line="590" w:lineRule="exact"/>
        <w:rPr>
          <w:rFonts w:hint="eastAsia" w:ascii="方正黑体_GBK" w:hAnsi="方正黑体_GBK" w:eastAsia="方正黑体_GBK" w:cs="方正黑体_GBK"/>
          <w:color w:val="000000"/>
          <w:sz w:val="32"/>
          <w:szCs w:val="32"/>
        </w:rPr>
      </w:pPr>
    </w:p>
    <w:p w14:paraId="1F0CAACC">
      <w:pPr>
        <w:keepNext w:val="0"/>
        <w:keepLines w:val="0"/>
        <w:pageBreakBefore w:val="0"/>
        <w:kinsoku/>
        <w:overflowPunct/>
        <w:topLinePunct w:val="0"/>
        <w:autoSpaceDN/>
        <w:bidi w:val="0"/>
        <w:adjustRightInd/>
        <w:snapToGrid/>
        <w:spacing w:line="590" w:lineRule="exact"/>
        <w:rPr>
          <w:rFonts w:hint="eastAsia" w:ascii="方正黑体_GBK" w:hAnsi="方正黑体_GBK" w:eastAsia="方正黑体_GBK" w:cs="方正黑体_GBK"/>
          <w:color w:val="000000"/>
          <w:sz w:val="32"/>
          <w:szCs w:val="32"/>
        </w:rPr>
      </w:pPr>
      <w:r>
        <w:rPr>
          <w:rFonts w:hint="eastAsia" w:ascii="方正黑体_GBK" w:hAnsi="方正黑体_GBK" w:eastAsia="方正黑体_GBK" w:cs="方正黑体_GBK"/>
          <w:color w:val="000000"/>
          <w:sz w:val="32"/>
          <w:szCs w:val="32"/>
        </w:rPr>
        <w:t>附件</w:t>
      </w:r>
    </w:p>
    <w:p w14:paraId="3FA4E751">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小标宋_GBK" w:cs="Times New Roman"/>
          <w:color w:val="000000"/>
          <w:sz w:val="44"/>
          <w:szCs w:val="44"/>
          <w:shd w:val="clear" w:color="auto" w:fill="FFFFFF"/>
          <w:lang w:val="en-US" w:eastAsia="zh-CN"/>
        </w:rPr>
      </w:pPr>
      <w:r>
        <w:rPr>
          <w:rFonts w:hint="default" w:ascii="Times New Roman" w:hAnsi="Times New Roman" w:eastAsia="方正小标宋_GBK" w:cs="Times New Roman"/>
          <w:color w:val="000000"/>
          <w:sz w:val="44"/>
          <w:szCs w:val="44"/>
          <w:shd w:val="clear" w:color="auto" w:fill="FFFFFF"/>
          <w:lang w:val="en-US" w:eastAsia="zh-CN"/>
        </w:rPr>
        <w:t>六安市业主委员会履职清单</w:t>
      </w:r>
    </w:p>
    <w:p w14:paraId="65517BBC">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小标宋_GBK" w:cs="Times New Roman"/>
          <w:color w:val="000000"/>
          <w:sz w:val="44"/>
          <w:szCs w:val="44"/>
          <w:shd w:val="clear" w:color="auto" w:fill="FFFFFF"/>
          <w:lang w:val="en-US" w:eastAsia="zh-CN"/>
        </w:rPr>
      </w:pPr>
    </w:p>
    <w:tbl>
      <w:tblPr>
        <w:tblStyle w:val="8"/>
        <w:tblW w:w="14772" w:type="dxa"/>
        <w:tblInd w:w="93" w:type="dxa"/>
        <w:tblLayout w:type="fixed"/>
        <w:tblCellMar>
          <w:top w:w="0" w:type="dxa"/>
          <w:left w:w="108" w:type="dxa"/>
          <w:bottom w:w="0" w:type="dxa"/>
          <w:right w:w="108" w:type="dxa"/>
        </w:tblCellMar>
      </w:tblPr>
      <w:tblGrid>
        <w:gridCol w:w="687"/>
        <w:gridCol w:w="3975"/>
        <w:gridCol w:w="10110"/>
      </w:tblGrid>
      <w:tr w14:paraId="6D02618D">
        <w:tblPrEx>
          <w:tblCellMar>
            <w:top w:w="0" w:type="dxa"/>
            <w:left w:w="108" w:type="dxa"/>
            <w:bottom w:w="0" w:type="dxa"/>
            <w:right w:w="108" w:type="dxa"/>
          </w:tblCellMar>
        </w:tblPrEx>
        <w:trPr>
          <w:trHeight w:val="375" w:hRule="atLeast"/>
          <w:tblHeader/>
        </w:trPr>
        <w:tc>
          <w:tcPr>
            <w:tcW w:w="4662" w:type="dxa"/>
            <w:gridSpan w:val="2"/>
            <w:tcBorders>
              <w:top w:val="single" w:color="000000" w:sz="4" w:space="0"/>
              <w:left w:val="single" w:color="000000" w:sz="4" w:space="0"/>
              <w:bottom w:val="single" w:color="000000" w:sz="4" w:space="0"/>
              <w:right w:val="single" w:color="000000" w:sz="4" w:space="0"/>
            </w:tcBorders>
            <w:noWrap w:val="0"/>
            <w:vAlign w:val="center"/>
          </w:tcPr>
          <w:p w14:paraId="793188CF">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center"/>
              <w:textAlignment w:val="center"/>
              <w:rPr>
                <w:rFonts w:hint="default" w:ascii="Times New Roman" w:hAnsi="Times New Roman" w:eastAsia="方正仿宋_GBK" w:cs="Times New Roman"/>
                <w:color w:val="000000"/>
                <w:spacing w:val="-6"/>
                <w:sz w:val="32"/>
                <w:szCs w:val="32"/>
              </w:rPr>
            </w:pPr>
            <w:r>
              <w:rPr>
                <w:rFonts w:hint="eastAsia" w:ascii="方正黑体_GBK" w:hAnsi="方正黑体_GBK" w:eastAsia="方正黑体_GBK" w:cs="方正黑体_GBK"/>
                <w:color w:val="000000"/>
                <w:sz w:val="32"/>
                <w:szCs w:val="32"/>
              </w:rPr>
              <w:t>履  职  事  项</w:t>
            </w:r>
          </w:p>
        </w:tc>
        <w:tc>
          <w:tcPr>
            <w:tcW w:w="10110" w:type="dxa"/>
            <w:tcBorders>
              <w:top w:val="single" w:color="000000" w:sz="4" w:space="0"/>
              <w:left w:val="single" w:color="000000" w:sz="4" w:space="0"/>
              <w:bottom w:val="single" w:color="000000" w:sz="4" w:space="0"/>
              <w:right w:val="single" w:color="000000" w:sz="4" w:space="0"/>
            </w:tcBorders>
            <w:noWrap w:val="0"/>
            <w:vAlign w:val="center"/>
          </w:tcPr>
          <w:p w14:paraId="621D1410">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center"/>
              <w:textAlignment w:val="center"/>
              <w:rPr>
                <w:rFonts w:hint="default" w:ascii="Times New Roman" w:hAnsi="Times New Roman" w:eastAsia="方正仿宋_GBK" w:cs="Times New Roman"/>
                <w:color w:val="000000"/>
                <w:spacing w:val="-6"/>
                <w:sz w:val="32"/>
                <w:szCs w:val="32"/>
              </w:rPr>
            </w:pPr>
            <w:r>
              <w:rPr>
                <w:rFonts w:hint="eastAsia" w:ascii="方正黑体_GBK" w:hAnsi="方正黑体_GBK" w:eastAsia="方正黑体_GBK" w:cs="方正黑体_GBK"/>
                <w:color w:val="000000"/>
                <w:sz w:val="32"/>
                <w:szCs w:val="32"/>
              </w:rPr>
              <w:t>法 律 法 规 依 据</w:t>
            </w:r>
          </w:p>
        </w:tc>
      </w:tr>
      <w:tr w14:paraId="1D55D4AE">
        <w:tblPrEx>
          <w:tblCellMar>
            <w:top w:w="0" w:type="dxa"/>
            <w:left w:w="108" w:type="dxa"/>
            <w:bottom w:w="0" w:type="dxa"/>
            <w:right w:w="108" w:type="dxa"/>
          </w:tblCellMar>
        </w:tblPrEx>
        <w:trPr>
          <w:trHeight w:val="1710" w:hRule="atLeast"/>
        </w:trPr>
        <w:tc>
          <w:tcPr>
            <w:tcW w:w="687" w:type="dxa"/>
            <w:vMerge w:val="restart"/>
            <w:tcBorders>
              <w:top w:val="single" w:color="000000" w:sz="4" w:space="0"/>
              <w:left w:val="single" w:color="000000" w:sz="4" w:space="0"/>
              <w:bottom w:val="single" w:color="000000" w:sz="4" w:space="0"/>
              <w:right w:val="single" w:color="000000" w:sz="4" w:space="0"/>
            </w:tcBorders>
            <w:noWrap/>
            <w:vAlign w:val="center"/>
          </w:tcPr>
          <w:p w14:paraId="2226F1DE">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center"/>
              <w:textAlignment w:val="center"/>
              <w:rPr>
                <w:rFonts w:hint="default" w:ascii="Times New Roman" w:hAnsi="Times New Roman" w:eastAsia="方正仿宋_GBK" w:cs="Times New Roman"/>
                <w:b/>
                <w:bCs/>
                <w:color w:val="000000"/>
                <w:spacing w:val="-6"/>
                <w:sz w:val="32"/>
                <w:szCs w:val="32"/>
              </w:rPr>
            </w:pPr>
            <w:r>
              <w:rPr>
                <w:rFonts w:hint="eastAsia" w:ascii="方正楷体_GBK" w:hAnsi="方正楷体_GBK" w:eastAsia="方正楷体_GBK" w:cs="方正楷体_GBK"/>
                <w:b/>
                <w:bCs/>
                <w:color w:val="000000"/>
                <w:spacing w:val="-6"/>
                <w:kern w:val="0"/>
                <w:sz w:val="32"/>
                <w:szCs w:val="32"/>
                <w:lang w:eastAsia="zh-CN" w:bidi="ar"/>
              </w:rPr>
              <w:t>一</w:t>
            </w:r>
            <w:r>
              <w:rPr>
                <w:rFonts w:hint="eastAsia" w:ascii="方正楷体_GBK" w:hAnsi="方正楷体_GBK" w:eastAsia="方正楷体_GBK" w:cs="方正楷体_GBK"/>
                <w:b/>
                <w:bCs/>
                <w:color w:val="000000"/>
                <w:spacing w:val="-6"/>
                <w:kern w:val="0"/>
                <w:sz w:val="32"/>
                <w:szCs w:val="32"/>
                <w:lang w:bidi="ar"/>
              </w:rPr>
              <w:t>、基本职责</w:t>
            </w:r>
          </w:p>
        </w:tc>
        <w:tc>
          <w:tcPr>
            <w:tcW w:w="3975" w:type="dxa"/>
            <w:vMerge w:val="restart"/>
            <w:tcBorders>
              <w:top w:val="single" w:color="000000" w:sz="4" w:space="0"/>
              <w:left w:val="single" w:color="000000" w:sz="4" w:space="0"/>
              <w:bottom w:val="single" w:color="000000" w:sz="4" w:space="0"/>
              <w:right w:val="single" w:color="000000" w:sz="4" w:space="0"/>
            </w:tcBorders>
            <w:noWrap w:val="0"/>
            <w:vAlign w:val="center"/>
          </w:tcPr>
          <w:p w14:paraId="479D8A82">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（一）执行业主大会的决定和决议；</w:t>
            </w:r>
          </w:p>
          <w:p w14:paraId="2308F639">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（二）召集业主大会会议，报告业主委员会工作和物业管理实施情况，报告业主大会、业主委员会工作经费和公共收益的分配与使用情况；</w:t>
            </w:r>
          </w:p>
          <w:p w14:paraId="787C4B78">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（三）与业主大会选聘的物业服务企业签订物业服务合同；</w:t>
            </w:r>
          </w:p>
          <w:p w14:paraId="40150704">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（四）及时了解业主、物业使用人、物业服务企业的意见和建议，监督和协助物业服务企业履行物业服务合同；</w:t>
            </w:r>
          </w:p>
          <w:p w14:paraId="0D569684">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（五）监督管理规约的实施；</w:t>
            </w:r>
          </w:p>
          <w:p w14:paraId="116AC4D0">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（六）督促业主交纳物业服务费及其他相关费用；</w:t>
            </w:r>
          </w:p>
          <w:p w14:paraId="12F4D3FB">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（七）组织和监督专项维修资金的筹集和使用；</w:t>
            </w:r>
          </w:p>
          <w:p w14:paraId="03AFDE11">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（八）调解物业使用、维护和管理等方面的纠纷；</w:t>
            </w:r>
          </w:p>
          <w:p w14:paraId="6F912C42">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sz w:val="32"/>
                <w:szCs w:val="32"/>
              </w:rPr>
            </w:pPr>
            <w:r>
              <w:rPr>
                <w:rFonts w:hint="default" w:ascii="Times New Roman" w:hAnsi="Times New Roman" w:eastAsia="方正仿宋_GBK" w:cs="Times New Roman"/>
                <w:color w:val="000000"/>
                <w:spacing w:val="-6"/>
                <w:kern w:val="0"/>
                <w:sz w:val="32"/>
                <w:szCs w:val="32"/>
                <w:lang w:bidi="ar"/>
              </w:rPr>
              <w:t>（九）业主大会赋予的其他职责。</w:t>
            </w:r>
          </w:p>
        </w:tc>
        <w:tc>
          <w:tcPr>
            <w:tcW w:w="10110" w:type="dxa"/>
            <w:tcBorders>
              <w:top w:val="single" w:color="000000" w:sz="4" w:space="0"/>
              <w:left w:val="single" w:color="000000" w:sz="4" w:space="0"/>
              <w:bottom w:val="single" w:color="000000" w:sz="4" w:space="0"/>
              <w:right w:val="single" w:color="000000" w:sz="4" w:space="0"/>
            </w:tcBorders>
            <w:noWrap w:val="0"/>
            <w:vAlign w:val="center"/>
          </w:tcPr>
          <w:p w14:paraId="76577978">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《物业管理条例》第十五条  业主委员会执行业主大会的决定事项，履行下列职责：</w:t>
            </w:r>
          </w:p>
          <w:p w14:paraId="537896C0">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（一）召集业主大会会议，报告物业管理的实施情况；</w:t>
            </w:r>
          </w:p>
          <w:p w14:paraId="37F863D8">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eastAsia" w:ascii="Times New Roman" w:hAnsi="Times New Roman" w:eastAsia="方正仿宋_GBK" w:cs="Times New Roman"/>
                <w:color w:val="000000"/>
                <w:spacing w:val="-6"/>
                <w:kern w:val="0"/>
                <w:sz w:val="32"/>
                <w:szCs w:val="32"/>
                <w:lang w:eastAsia="zh-CN" w:bidi="ar"/>
              </w:rPr>
              <w:t>（二）</w:t>
            </w:r>
            <w:r>
              <w:rPr>
                <w:rFonts w:hint="default" w:ascii="Times New Roman" w:hAnsi="Times New Roman" w:eastAsia="方正仿宋_GBK" w:cs="Times New Roman"/>
                <w:color w:val="000000"/>
                <w:spacing w:val="-6"/>
                <w:kern w:val="0"/>
                <w:sz w:val="32"/>
                <w:szCs w:val="32"/>
                <w:lang w:bidi="ar"/>
              </w:rPr>
              <w:t>代表业主与业主大会选聘的物业服务企业签订物业服务合同；</w:t>
            </w:r>
          </w:p>
          <w:p w14:paraId="34764E45">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eastAsia" w:ascii="Times New Roman" w:hAnsi="Times New Roman" w:eastAsia="方正仿宋_GBK" w:cs="Times New Roman"/>
                <w:color w:val="000000"/>
                <w:spacing w:val="-6"/>
                <w:kern w:val="0"/>
                <w:sz w:val="32"/>
                <w:szCs w:val="32"/>
                <w:lang w:eastAsia="zh-CN" w:bidi="ar"/>
              </w:rPr>
              <w:t>（三）</w:t>
            </w:r>
            <w:r>
              <w:rPr>
                <w:rFonts w:hint="default" w:ascii="Times New Roman" w:hAnsi="Times New Roman" w:eastAsia="方正仿宋_GBK" w:cs="Times New Roman"/>
                <w:color w:val="000000"/>
                <w:spacing w:val="-6"/>
                <w:kern w:val="0"/>
                <w:sz w:val="32"/>
                <w:szCs w:val="32"/>
                <w:lang w:bidi="ar"/>
              </w:rPr>
              <w:t>及时了解业主、物业使用人的意见和建议，监督和协助物业服务企业履行物业服务合同；</w:t>
            </w:r>
          </w:p>
          <w:p w14:paraId="79632E39">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eastAsia" w:ascii="Times New Roman" w:hAnsi="Times New Roman" w:eastAsia="方正仿宋_GBK" w:cs="Times New Roman"/>
                <w:color w:val="000000"/>
                <w:spacing w:val="-6"/>
                <w:kern w:val="0"/>
                <w:sz w:val="32"/>
                <w:szCs w:val="32"/>
                <w:lang w:eastAsia="zh-CN" w:bidi="ar"/>
              </w:rPr>
              <w:t>（四）</w:t>
            </w:r>
            <w:r>
              <w:rPr>
                <w:rFonts w:hint="default" w:ascii="Times New Roman" w:hAnsi="Times New Roman" w:eastAsia="方正仿宋_GBK" w:cs="Times New Roman"/>
                <w:color w:val="000000"/>
                <w:spacing w:val="-6"/>
                <w:kern w:val="0"/>
                <w:sz w:val="32"/>
                <w:szCs w:val="32"/>
                <w:lang w:bidi="ar"/>
              </w:rPr>
              <w:t>监督管理规约的实施；</w:t>
            </w:r>
          </w:p>
          <w:p w14:paraId="48F50F52">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sz w:val="32"/>
                <w:szCs w:val="32"/>
              </w:rPr>
            </w:pPr>
            <w:r>
              <w:rPr>
                <w:rFonts w:hint="eastAsia" w:ascii="Times New Roman" w:hAnsi="Times New Roman" w:eastAsia="方正仿宋_GBK" w:cs="Times New Roman"/>
                <w:color w:val="000000"/>
                <w:spacing w:val="-6"/>
                <w:kern w:val="0"/>
                <w:sz w:val="32"/>
                <w:szCs w:val="32"/>
                <w:lang w:eastAsia="zh-CN" w:bidi="ar"/>
              </w:rPr>
              <w:t>（五）</w:t>
            </w:r>
            <w:r>
              <w:rPr>
                <w:rFonts w:hint="default" w:ascii="Times New Roman" w:hAnsi="Times New Roman" w:eastAsia="方正仿宋_GBK" w:cs="Times New Roman"/>
                <w:color w:val="000000"/>
                <w:spacing w:val="-6"/>
                <w:kern w:val="0"/>
                <w:sz w:val="32"/>
                <w:szCs w:val="32"/>
                <w:lang w:bidi="ar"/>
              </w:rPr>
              <w:t>业主大会赋予的其他职责。</w:t>
            </w:r>
          </w:p>
        </w:tc>
      </w:tr>
      <w:tr w14:paraId="6527C0A0">
        <w:tblPrEx>
          <w:tblCellMar>
            <w:top w:w="0" w:type="dxa"/>
            <w:left w:w="108" w:type="dxa"/>
            <w:bottom w:w="0" w:type="dxa"/>
            <w:right w:w="108" w:type="dxa"/>
          </w:tblCellMar>
        </w:tblPrEx>
        <w:trPr>
          <w:trHeight w:val="2850" w:hRule="atLeast"/>
        </w:trPr>
        <w:tc>
          <w:tcPr>
            <w:tcW w:w="687" w:type="dxa"/>
            <w:vMerge w:val="continue"/>
            <w:tcBorders>
              <w:top w:val="single" w:color="000000" w:sz="4" w:space="0"/>
              <w:left w:val="single" w:color="000000" w:sz="4" w:space="0"/>
              <w:bottom w:val="single" w:color="000000" w:sz="4" w:space="0"/>
              <w:right w:val="single" w:color="000000" w:sz="4" w:space="0"/>
            </w:tcBorders>
            <w:noWrap/>
            <w:vAlign w:val="center"/>
          </w:tcPr>
          <w:p w14:paraId="3DFAFDD7">
            <w:pPr>
              <w:keepNext w:val="0"/>
              <w:keepLines w:val="0"/>
              <w:pageBreakBefore w:val="0"/>
              <w:kinsoku/>
              <w:wordWrap/>
              <w:overflowPunct/>
              <w:topLinePunct w:val="0"/>
              <w:autoSpaceDE/>
              <w:autoSpaceDN/>
              <w:bidi w:val="0"/>
              <w:adjustRightInd/>
              <w:snapToGrid/>
              <w:spacing w:line="590" w:lineRule="exact"/>
              <w:ind w:left="0" w:leftChars="0" w:firstLine="0" w:firstLineChars="0"/>
              <w:jc w:val="center"/>
              <w:rPr>
                <w:rFonts w:hint="default" w:ascii="Times New Roman" w:hAnsi="Times New Roman" w:eastAsia="方正仿宋_GBK" w:cs="Times New Roman"/>
                <w:b/>
                <w:bCs/>
                <w:color w:val="000000"/>
                <w:spacing w:val="-6"/>
                <w:sz w:val="32"/>
                <w:szCs w:val="32"/>
              </w:rPr>
            </w:pPr>
          </w:p>
        </w:tc>
        <w:tc>
          <w:tcPr>
            <w:tcW w:w="3975" w:type="dxa"/>
            <w:vMerge w:val="continue"/>
            <w:tcBorders>
              <w:top w:val="single" w:color="000000" w:sz="4" w:space="0"/>
              <w:left w:val="single" w:color="000000" w:sz="4" w:space="0"/>
              <w:bottom w:val="single" w:color="000000" w:sz="4" w:space="0"/>
              <w:right w:val="single" w:color="000000" w:sz="4" w:space="0"/>
            </w:tcBorders>
            <w:noWrap w:val="0"/>
            <w:vAlign w:val="center"/>
          </w:tcPr>
          <w:p w14:paraId="3649A4FE">
            <w:pPr>
              <w:keepNext w:val="0"/>
              <w:keepLines w:val="0"/>
              <w:pageBreakBefore w:val="0"/>
              <w:kinsoku/>
              <w:wordWrap/>
              <w:overflowPunct/>
              <w:topLinePunct w:val="0"/>
              <w:autoSpaceDE/>
              <w:autoSpaceDN/>
              <w:bidi w:val="0"/>
              <w:adjustRightInd/>
              <w:snapToGrid/>
              <w:spacing w:line="590" w:lineRule="exact"/>
              <w:ind w:left="0" w:leftChars="0" w:firstLine="0" w:firstLineChars="0"/>
              <w:rPr>
                <w:rFonts w:hint="default" w:ascii="Times New Roman" w:hAnsi="Times New Roman" w:eastAsia="方正仿宋_GBK" w:cs="Times New Roman"/>
                <w:color w:val="000000"/>
                <w:spacing w:val="-6"/>
                <w:sz w:val="32"/>
                <w:szCs w:val="32"/>
              </w:rPr>
            </w:pPr>
          </w:p>
        </w:tc>
        <w:tc>
          <w:tcPr>
            <w:tcW w:w="10110" w:type="dxa"/>
            <w:tcBorders>
              <w:top w:val="single" w:color="000000" w:sz="4" w:space="0"/>
              <w:left w:val="single" w:color="000000" w:sz="4" w:space="0"/>
              <w:bottom w:val="single" w:color="000000" w:sz="4" w:space="0"/>
              <w:right w:val="single" w:color="000000" w:sz="4" w:space="0"/>
            </w:tcBorders>
            <w:noWrap w:val="0"/>
            <w:vAlign w:val="center"/>
          </w:tcPr>
          <w:p w14:paraId="194EB3CE">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《安徽省物业管理条例》第二十六条  业主委员会履行以下职责：</w:t>
            </w:r>
          </w:p>
          <w:p w14:paraId="60CBC9CE">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（一）执行业主大会的决定和决议；</w:t>
            </w:r>
          </w:p>
          <w:p w14:paraId="1C50B5DE">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（二）召集业主大会会议，报告业主委员会工作和物业管理实施情况，报告业主大会、业主委员会工作经费和公共收益的分配与使用情况；</w:t>
            </w:r>
          </w:p>
          <w:p w14:paraId="5FD2665B">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（三）与业主大会选聘的物业服务企业签订物业服务合同；</w:t>
            </w:r>
          </w:p>
          <w:p w14:paraId="1688FDC6">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（四）及时了解业主、物业使用人、物业服务企业的意见和建议，监督和协助物业服务企业履行物业服务合同；</w:t>
            </w:r>
          </w:p>
          <w:p w14:paraId="6AD6DF3A">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（五）监督管理规约的实施；</w:t>
            </w:r>
          </w:p>
          <w:p w14:paraId="72E1C7D9">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（六）督促业主交纳物业服务费及其他相关费用；</w:t>
            </w:r>
          </w:p>
          <w:p w14:paraId="19DE68AA">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（七）组织和监督专项维修资金的筹集和使用；</w:t>
            </w:r>
          </w:p>
          <w:p w14:paraId="13D598F7">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（八）调解物业使用、维护和管理等方面的纠纷；</w:t>
            </w:r>
          </w:p>
          <w:p w14:paraId="71896A53">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sz w:val="32"/>
                <w:szCs w:val="32"/>
              </w:rPr>
            </w:pPr>
            <w:r>
              <w:rPr>
                <w:rFonts w:hint="default" w:ascii="Times New Roman" w:hAnsi="Times New Roman" w:eastAsia="方正仿宋_GBK" w:cs="Times New Roman"/>
                <w:color w:val="000000"/>
                <w:spacing w:val="-6"/>
                <w:kern w:val="0"/>
                <w:sz w:val="32"/>
                <w:szCs w:val="32"/>
                <w:lang w:bidi="ar"/>
              </w:rPr>
              <w:t>（九）业主大会赋予的其他职责。</w:t>
            </w:r>
          </w:p>
        </w:tc>
      </w:tr>
      <w:tr w14:paraId="51919643">
        <w:tblPrEx>
          <w:tblCellMar>
            <w:top w:w="0" w:type="dxa"/>
            <w:left w:w="108" w:type="dxa"/>
            <w:bottom w:w="0" w:type="dxa"/>
            <w:right w:w="108" w:type="dxa"/>
          </w:tblCellMar>
        </w:tblPrEx>
        <w:trPr>
          <w:trHeight w:val="2850" w:hRule="atLeast"/>
        </w:trPr>
        <w:tc>
          <w:tcPr>
            <w:tcW w:w="687" w:type="dxa"/>
            <w:vMerge w:val="continue"/>
            <w:tcBorders>
              <w:top w:val="single" w:color="000000" w:sz="4" w:space="0"/>
              <w:left w:val="single" w:color="000000" w:sz="4" w:space="0"/>
              <w:bottom w:val="single" w:color="000000" w:sz="4" w:space="0"/>
              <w:right w:val="single" w:color="000000" w:sz="4" w:space="0"/>
            </w:tcBorders>
            <w:noWrap/>
            <w:vAlign w:val="center"/>
          </w:tcPr>
          <w:p w14:paraId="66FFCAE2">
            <w:pPr>
              <w:keepNext w:val="0"/>
              <w:keepLines w:val="0"/>
              <w:pageBreakBefore w:val="0"/>
              <w:kinsoku/>
              <w:wordWrap/>
              <w:overflowPunct/>
              <w:topLinePunct w:val="0"/>
              <w:autoSpaceDE/>
              <w:autoSpaceDN/>
              <w:bidi w:val="0"/>
              <w:adjustRightInd/>
              <w:snapToGrid/>
              <w:spacing w:line="590" w:lineRule="exact"/>
              <w:ind w:left="0" w:leftChars="0" w:firstLine="0" w:firstLineChars="0"/>
              <w:jc w:val="center"/>
              <w:rPr>
                <w:rFonts w:hint="default" w:ascii="Times New Roman" w:hAnsi="Times New Roman" w:eastAsia="方正仿宋_GBK" w:cs="Times New Roman"/>
                <w:b/>
                <w:bCs/>
                <w:color w:val="000000"/>
                <w:spacing w:val="-6"/>
                <w:sz w:val="32"/>
                <w:szCs w:val="32"/>
              </w:rPr>
            </w:pPr>
          </w:p>
        </w:tc>
        <w:tc>
          <w:tcPr>
            <w:tcW w:w="3975" w:type="dxa"/>
            <w:vMerge w:val="continue"/>
            <w:tcBorders>
              <w:top w:val="single" w:color="000000" w:sz="4" w:space="0"/>
              <w:left w:val="single" w:color="000000" w:sz="4" w:space="0"/>
              <w:bottom w:val="single" w:color="000000" w:sz="4" w:space="0"/>
              <w:right w:val="single" w:color="000000" w:sz="4" w:space="0"/>
            </w:tcBorders>
            <w:noWrap w:val="0"/>
            <w:vAlign w:val="center"/>
          </w:tcPr>
          <w:p w14:paraId="10B93089">
            <w:pPr>
              <w:keepNext w:val="0"/>
              <w:keepLines w:val="0"/>
              <w:pageBreakBefore w:val="0"/>
              <w:kinsoku/>
              <w:wordWrap/>
              <w:overflowPunct/>
              <w:topLinePunct w:val="0"/>
              <w:autoSpaceDE/>
              <w:autoSpaceDN/>
              <w:bidi w:val="0"/>
              <w:adjustRightInd/>
              <w:snapToGrid/>
              <w:spacing w:line="590" w:lineRule="exact"/>
              <w:ind w:left="0" w:leftChars="0" w:firstLine="0" w:firstLineChars="0"/>
              <w:rPr>
                <w:rFonts w:hint="default" w:ascii="Times New Roman" w:hAnsi="Times New Roman" w:eastAsia="方正仿宋_GBK" w:cs="Times New Roman"/>
                <w:color w:val="000000"/>
                <w:spacing w:val="-6"/>
                <w:sz w:val="32"/>
                <w:szCs w:val="32"/>
              </w:rPr>
            </w:pPr>
          </w:p>
        </w:tc>
        <w:tc>
          <w:tcPr>
            <w:tcW w:w="10110" w:type="dxa"/>
            <w:tcBorders>
              <w:top w:val="single" w:color="000000" w:sz="4" w:space="0"/>
              <w:left w:val="single" w:color="000000" w:sz="4" w:space="0"/>
              <w:bottom w:val="single" w:color="000000" w:sz="4" w:space="0"/>
              <w:right w:val="single" w:color="000000" w:sz="4" w:space="0"/>
            </w:tcBorders>
            <w:noWrap w:val="0"/>
            <w:vAlign w:val="center"/>
          </w:tcPr>
          <w:p w14:paraId="15A0C4AF">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《业主⼤会和业主委员会指导规则》第三十五条  业主委员会履行以下职责：</w:t>
            </w:r>
          </w:p>
          <w:p w14:paraId="04E40D95">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（一）执行业主大会的决定和决议；</w:t>
            </w:r>
          </w:p>
          <w:p w14:paraId="426AEA7A">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（二）召集业主大会会议，报告物业管理实施情况；</w:t>
            </w:r>
          </w:p>
          <w:p w14:paraId="64CE39D9">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（三）与业主大会选聘的物业服务企业签订物业服务合同；</w:t>
            </w:r>
          </w:p>
          <w:p w14:paraId="13EBF969">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（四）及时了解业主、物业使用人的意见和建议，监督和协助物业服务企业履行物业服务合同；</w:t>
            </w:r>
          </w:p>
          <w:p w14:paraId="0FE9EAEF">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（五）监督管理规约的实施；</w:t>
            </w:r>
          </w:p>
          <w:p w14:paraId="63001233">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（六）督促业主交纳物业服务费及其他相关费用；</w:t>
            </w:r>
          </w:p>
          <w:p w14:paraId="05F84E23">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（七）组织和监督专项维修资金的筹集和使用；</w:t>
            </w:r>
          </w:p>
          <w:p w14:paraId="5E673161">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（八）调解业主之间因物业使用、维护和管理产生的纠纷；</w:t>
            </w:r>
          </w:p>
          <w:p w14:paraId="57A3F10B">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sz w:val="32"/>
                <w:szCs w:val="32"/>
              </w:rPr>
            </w:pPr>
            <w:r>
              <w:rPr>
                <w:rFonts w:hint="default" w:ascii="Times New Roman" w:hAnsi="Times New Roman" w:eastAsia="方正仿宋_GBK" w:cs="Times New Roman"/>
                <w:color w:val="000000"/>
                <w:spacing w:val="-6"/>
                <w:kern w:val="0"/>
                <w:sz w:val="32"/>
                <w:szCs w:val="32"/>
                <w:lang w:bidi="ar"/>
              </w:rPr>
              <w:t>（九）业主大会赋予的其他职责。</w:t>
            </w:r>
          </w:p>
        </w:tc>
      </w:tr>
      <w:tr w14:paraId="483E146F">
        <w:tblPrEx>
          <w:tblCellMar>
            <w:top w:w="0" w:type="dxa"/>
            <w:left w:w="108" w:type="dxa"/>
            <w:bottom w:w="0" w:type="dxa"/>
            <w:right w:w="108" w:type="dxa"/>
          </w:tblCellMar>
        </w:tblPrEx>
        <w:trPr>
          <w:trHeight w:val="2565" w:hRule="atLeast"/>
        </w:trPr>
        <w:tc>
          <w:tcPr>
            <w:tcW w:w="687" w:type="dxa"/>
            <w:vMerge w:val="restart"/>
            <w:tcBorders>
              <w:top w:val="single" w:color="000000" w:sz="4" w:space="0"/>
              <w:left w:val="single" w:color="000000" w:sz="4" w:space="0"/>
              <w:bottom w:val="single" w:color="000000" w:sz="4" w:space="0"/>
              <w:right w:val="single" w:color="000000" w:sz="4" w:space="0"/>
            </w:tcBorders>
            <w:noWrap/>
            <w:vAlign w:val="center"/>
          </w:tcPr>
          <w:p w14:paraId="211A3399">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center"/>
              <w:textAlignment w:val="center"/>
              <w:rPr>
                <w:rFonts w:hint="default" w:ascii="Times New Roman" w:hAnsi="Times New Roman" w:eastAsia="方正仿宋_GBK" w:cs="Times New Roman"/>
                <w:b/>
                <w:bCs/>
                <w:color w:val="000000"/>
                <w:spacing w:val="-6"/>
                <w:sz w:val="32"/>
                <w:szCs w:val="32"/>
              </w:rPr>
            </w:pPr>
            <w:r>
              <w:rPr>
                <w:rFonts w:hint="eastAsia" w:ascii="方正楷体_GBK" w:hAnsi="方正楷体_GBK" w:eastAsia="方正楷体_GBK" w:cs="方正楷体_GBK"/>
                <w:b/>
                <w:bCs/>
                <w:color w:val="000000"/>
                <w:spacing w:val="-6"/>
                <w:kern w:val="0"/>
                <w:sz w:val="32"/>
                <w:szCs w:val="32"/>
                <w:lang w:eastAsia="zh-CN" w:bidi="ar"/>
              </w:rPr>
              <w:t>二</w:t>
            </w:r>
            <w:r>
              <w:rPr>
                <w:rFonts w:hint="default" w:ascii="方正楷体_GBK" w:hAnsi="方正楷体_GBK" w:eastAsia="方正楷体_GBK" w:cs="方正楷体_GBK"/>
                <w:b/>
                <w:bCs/>
                <w:color w:val="000000"/>
                <w:spacing w:val="-6"/>
                <w:kern w:val="0"/>
                <w:sz w:val="32"/>
                <w:szCs w:val="32"/>
                <w:lang w:eastAsia="zh-CN" w:bidi="ar"/>
              </w:rPr>
              <w:t>、公开公示情况和资料</w:t>
            </w:r>
          </w:p>
        </w:tc>
        <w:tc>
          <w:tcPr>
            <w:tcW w:w="3975" w:type="dxa"/>
            <w:vMerge w:val="restart"/>
            <w:tcBorders>
              <w:top w:val="single" w:color="000000" w:sz="4" w:space="0"/>
              <w:left w:val="single" w:color="000000" w:sz="4" w:space="0"/>
              <w:bottom w:val="single" w:color="000000" w:sz="4" w:space="0"/>
              <w:right w:val="single" w:color="000000" w:sz="4" w:space="0"/>
            </w:tcBorders>
            <w:noWrap w:val="0"/>
            <w:vAlign w:val="center"/>
          </w:tcPr>
          <w:p w14:paraId="16AD7FB2">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业主委员会应当在物业管理区域显著位置向业主公开下列情况和资料：</w:t>
            </w:r>
          </w:p>
          <w:p w14:paraId="720E6C5B">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（一）管理规约、业主大会议事规则；</w:t>
            </w:r>
          </w:p>
          <w:p w14:paraId="553E4AC3">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（二）业主大会和业主委员会的决定；</w:t>
            </w:r>
          </w:p>
          <w:p w14:paraId="58C18896">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（三）物业服务合同；</w:t>
            </w:r>
          </w:p>
          <w:p w14:paraId="2C6A2658">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（四）专项维修资金的筹集、使用情况；</w:t>
            </w:r>
          </w:p>
          <w:p w14:paraId="26B15496">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（五）物业共有部分的收益和使用、分配情况；</w:t>
            </w:r>
          </w:p>
          <w:p w14:paraId="7BCA6475">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（六）占用业主共有的道路或者其他场地用于停放汽车车位的处分情况；</w:t>
            </w:r>
          </w:p>
          <w:p w14:paraId="62326850">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（七）业主大会和业主委员会工作经费的收支情况；</w:t>
            </w:r>
          </w:p>
          <w:p w14:paraId="2235320E">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sz w:val="32"/>
                <w:szCs w:val="32"/>
              </w:rPr>
            </w:pPr>
            <w:r>
              <w:rPr>
                <w:rFonts w:hint="default" w:ascii="Times New Roman" w:hAnsi="Times New Roman" w:eastAsia="方正仿宋_GBK" w:cs="Times New Roman"/>
                <w:color w:val="000000"/>
                <w:spacing w:val="-6"/>
                <w:kern w:val="0"/>
                <w:sz w:val="32"/>
                <w:szCs w:val="32"/>
                <w:lang w:bidi="ar"/>
              </w:rPr>
              <w:t>（八）其他应当向业主公开的情况和资料。</w:t>
            </w:r>
          </w:p>
        </w:tc>
        <w:tc>
          <w:tcPr>
            <w:tcW w:w="10110" w:type="dxa"/>
            <w:tcBorders>
              <w:top w:val="single" w:color="000000" w:sz="4" w:space="0"/>
              <w:left w:val="single" w:color="000000" w:sz="4" w:space="0"/>
              <w:bottom w:val="single" w:color="000000" w:sz="4" w:space="0"/>
              <w:right w:val="single" w:color="000000" w:sz="4" w:space="0"/>
            </w:tcBorders>
            <w:noWrap w:val="0"/>
            <w:vAlign w:val="center"/>
          </w:tcPr>
          <w:p w14:paraId="250FE27F">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《安徽省物业管理条例》第二十七条  业主委员会应当在物业管理区域显著位置向业主公开下列情况和资料：</w:t>
            </w:r>
          </w:p>
          <w:p w14:paraId="32E6B66E">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（一）管理规约、业主大会议事规则；</w:t>
            </w:r>
          </w:p>
          <w:p w14:paraId="581AF11F">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（二）业主大会和业主委员会的决定；</w:t>
            </w:r>
          </w:p>
          <w:p w14:paraId="7931F9F5">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（三）物业服务合同；</w:t>
            </w:r>
          </w:p>
          <w:p w14:paraId="119AB862">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（四）专项维修资金的筹集、使用情况；</w:t>
            </w:r>
          </w:p>
          <w:p w14:paraId="2EA5AACB">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（五）物业共有部分的收益和使用、分配情况；</w:t>
            </w:r>
          </w:p>
          <w:p w14:paraId="358F9B0E">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（六）占用业主共有的道路或者其他场地用于停放汽车车位的处分情况；</w:t>
            </w:r>
          </w:p>
          <w:p w14:paraId="6D7960AA">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（七）业主大会和业主委员会工作经费的收支情况；</w:t>
            </w:r>
          </w:p>
          <w:p w14:paraId="2D03686F">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sz w:val="32"/>
                <w:szCs w:val="32"/>
              </w:rPr>
            </w:pPr>
            <w:r>
              <w:rPr>
                <w:rFonts w:hint="default" w:ascii="Times New Roman" w:hAnsi="Times New Roman" w:eastAsia="方正仿宋_GBK" w:cs="Times New Roman"/>
                <w:color w:val="000000"/>
                <w:spacing w:val="-6"/>
                <w:kern w:val="0"/>
                <w:sz w:val="32"/>
                <w:szCs w:val="32"/>
                <w:lang w:bidi="ar"/>
              </w:rPr>
              <w:t>（八）其他应当向业主公开的情况和资料。</w:t>
            </w:r>
          </w:p>
        </w:tc>
      </w:tr>
      <w:tr w14:paraId="475FDDF9">
        <w:tblPrEx>
          <w:tblCellMar>
            <w:top w:w="0" w:type="dxa"/>
            <w:left w:w="108" w:type="dxa"/>
            <w:bottom w:w="0" w:type="dxa"/>
            <w:right w:w="108" w:type="dxa"/>
          </w:tblCellMar>
        </w:tblPrEx>
        <w:trPr>
          <w:trHeight w:val="2565" w:hRule="atLeast"/>
        </w:trPr>
        <w:tc>
          <w:tcPr>
            <w:tcW w:w="687" w:type="dxa"/>
            <w:vMerge w:val="continue"/>
            <w:tcBorders>
              <w:top w:val="single" w:color="000000" w:sz="4" w:space="0"/>
              <w:left w:val="single" w:color="000000" w:sz="4" w:space="0"/>
              <w:bottom w:val="single" w:color="000000" w:sz="4" w:space="0"/>
              <w:right w:val="single" w:color="000000" w:sz="4" w:space="0"/>
            </w:tcBorders>
            <w:noWrap/>
            <w:vAlign w:val="center"/>
          </w:tcPr>
          <w:p w14:paraId="4E9C4249">
            <w:pPr>
              <w:keepNext w:val="0"/>
              <w:keepLines w:val="0"/>
              <w:pageBreakBefore w:val="0"/>
              <w:kinsoku/>
              <w:wordWrap/>
              <w:overflowPunct/>
              <w:topLinePunct w:val="0"/>
              <w:autoSpaceDE/>
              <w:autoSpaceDN/>
              <w:bidi w:val="0"/>
              <w:adjustRightInd/>
              <w:snapToGrid/>
              <w:spacing w:line="590" w:lineRule="exact"/>
              <w:ind w:left="0" w:leftChars="0" w:firstLine="0" w:firstLineChars="0"/>
              <w:jc w:val="center"/>
              <w:rPr>
                <w:rFonts w:hint="default" w:ascii="Times New Roman" w:hAnsi="Times New Roman" w:eastAsia="方正仿宋_GBK" w:cs="Times New Roman"/>
                <w:b/>
                <w:bCs/>
                <w:color w:val="000000"/>
                <w:spacing w:val="-6"/>
                <w:sz w:val="32"/>
                <w:szCs w:val="32"/>
              </w:rPr>
            </w:pPr>
          </w:p>
        </w:tc>
        <w:tc>
          <w:tcPr>
            <w:tcW w:w="3975" w:type="dxa"/>
            <w:vMerge w:val="continue"/>
            <w:tcBorders>
              <w:top w:val="single" w:color="000000" w:sz="4" w:space="0"/>
              <w:left w:val="single" w:color="000000" w:sz="4" w:space="0"/>
              <w:bottom w:val="single" w:color="000000" w:sz="4" w:space="0"/>
              <w:right w:val="single" w:color="000000" w:sz="4" w:space="0"/>
            </w:tcBorders>
            <w:noWrap w:val="0"/>
            <w:vAlign w:val="center"/>
          </w:tcPr>
          <w:p w14:paraId="439F1327">
            <w:pPr>
              <w:keepNext w:val="0"/>
              <w:keepLines w:val="0"/>
              <w:pageBreakBefore w:val="0"/>
              <w:kinsoku/>
              <w:wordWrap/>
              <w:overflowPunct/>
              <w:topLinePunct w:val="0"/>
              <w:autoSpaceDE/>
              <w:autoSpaceDN/>
              <w:bidi w:val="0"/>
              <w:adjustRightInd/>
              <w:snapToGrid/>
              <w:spacing w:line="590" w:lineRule="exact"/>
              <w:ind w:left="0" w:leftChars="0" w:firstLine="0" w:firstLineChars="0"/>
              <w:jc w:val="left"/>
              <w:rPr>
                <w:rFonts w:hint="default" w:ascii="Times New Roman" w:hAnsi="Times New Roman" w:eastAsia="方正仿宋_GBK" w:cs="Times New Roman"/>
                <w:color w:val="000000"/>
                <w:spacing w:val="-6"/>
                <w:sz w:val="32"/>
                <w:szCs w:val="32"/>
              </w:rPr>
            </w:pPr>
          </w:p>
        </w:tc>
        <w:tc>
          <w:tcPr>
            <w:tcW w:w="10110" w:type="dxa"/>
            <w:tcBorders>
              <w:top w:val="single" w:color="000000" w:sz="4" w:space="0"/>
              <w:left w:val="single" w:color="000000" w:sz="4" w:space="0"/>
              <w:bottom w:val="single" w:color="000000" w:sz="4" w:space="0"/>
              <w:right w:val="single" w:color="000000" w:sz="4" w:space="0"/>
            </w:tcBorders>
            <w:noWrap w:val="0"/>
            <w:vAlign w:val="center"/>
          </w:tcPr>
          <w:p w14:paraId="5CFE5577">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《业主⼤会和业主委员会指导规则》第三十六条  业主委员会应当向业主公布下列情况和资料：</w:t>
            </w:r>
          </w:p>
          <w:p w14:paraId="7B51697A">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（一）管理规约、业主大会议事规则；</w:t>
            </w:r>
          </w:p>
          <w:p w14:paraId="654E3E93">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（二）业主大会和业主委员会的决定；</w:t>
            </w:r>
          </w:p>
          <w:p w14:paraId="256FE3AA">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（三）物业服务合同；</w:t>
            </w:r>
          </w:p>
          <w:p w14:paraId="542F417C">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（四）专项维修资金的筹集、使用情况；</w:t>
            </w:r>
          </w:p>
          <w:p w14:paraId="0966D991">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（五）物业共有部分的使用和收益情况；</w:t>
            </w:r>
          </w:p>
          <w:p w14:paraId="045AFF42">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（六）占用业主共有的道路或者其他场地用于停放汽车车位的处分情况；</w:t>
            </w:r>
          </w:p>
          <w:p w14:paraId="6F0328EE">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（七）业主大会和业主委员会工作经费的收支情况；</w:t>
            </w:r>
          </w:p>
          <w:p w14:paraId="4236F8E7">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sz w:val="32"/>
                <w:szCs w:val="32"/>
              </w:rPr>
            </w:pPr>
            <w:r>
              <w:rPr>
                <w:rFonts w:hint="default" w:ascii="Times New Roman" w:hAnsi="Times New Roman" w:eastAsia="方正仿宋_GBK" w:cs="Times New Roman"/>
                <w:color w:val="000000"/>
                <w:spacing w:val="-6"/>
                <w:kern w:val="0"/>
                <w:sz w:val="32"/>
                <w:szCs w:val="32"/>
                <w:lang w:bidi="ar"/>
              </w:rPr>
              <w:t>（八）其他应当向业主公开的情况和资料。</w:t>
            </w:r>
          </w:p>
        </w:tc>
      </w:tr>
      <w:tr w14:paraId="07039DC1">
        <w:tblPrEx>
          <w:tblCellMar>
            <w:top w:w="0" w:type="dxa"/>
            <w:left w:w="108" w:type="dxa"/>
            <w:bottom w:w="0" w:type="dxa"/>
            <w:right w:w="108" w:type="dxa"/>
          </w:tblCellMar>
        </w:tblPrEx>
        <w:trPr>
          <w:trHeight w:val="855" w:hRule="atLeast"/>
        </w:trPr>
        <w:tc>
          <w:tcPr>
            <w:tcW w:w="687" w:type="dxa"/>
            <w:vMerge w:val="restart"/>
            <w:tcBorders>
              <w:top w:val="single" w:color="000000" w:sz="4" w:space="0"/>
              <w:left w:val="single" w:color="000000" w:sz="4" w:space="0"/>
              <w:bottom w:val="single" w:color="000000" w:sz="4" w:space="0"/>
              <w:right w:val="single" w:color="000000" w:sz="4" w:space="0"/>
            </w:tcBorders>
            <w:noWrap/>
            <w:vAlign w:val="center"/>
          </w:tcPr>
          <w:p w14:paraId="31E92DF7">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center"/>
              <w:textAlignment w:val="center"/>
              <w:rPr>
                <w:rFonts w:hint="default" w:ascii="Times New Roman" w:hAnsi="Times New Roman" w:eastAsia="方正仿宋_GBK" w:cs="Times New Roman"/>
                <w:b/>
                <w:bCs/>
                <w:color w:val="000000"/>
                <w:spacing w:val="-6"/>
                <w:sz w:val="32"/>
                <w:szCs w:val="32"/>
              </w:rPr>
            </w:pPr>
            <w:r>
              <w:rPr>
                <w:rFonts w:hint="eastAsia" w:ascii="方正楷体_GBK" w:hAnsi="方正楷体_GBK" w:eastAsia="方正楷体_GBK" w:cs="方正楷体_GBK"/>
                <w:b/>
                <w:bCs/>
                <w:color w:val="000000"/>
                <w:spacing w:val="-6"/>
                <w:kern w:val="0"/>
                <w:sz w:val="30"/>
                <w:szCs w:val="30"/>
                <w:lang w:eastAsia="zh-CN" w:bidi="ar"/>
              </w:rPr>
              <w:t>三</w:t>
            </w:r>
            <w:r>
              <w:rPr>
                <w:rFonts w:hint="default" w:ascii="方正楷体_GBK" w:hAnsi="方正楷体_GBK" w:eastAsia="方正楷体_GBK" w:cs="方正楷体_GBK"/>
                <w:b/>
                <w:bCs/>
                <w:color w:val="000000"/>
                <w:spacing w:val="-6"/>
                <w:kern w:val="0"/>
                <w:sz w:val="30"/>
                <w:szCs w:val="30"/>
                <w:lang w:eastAsia="zh-CN" w:bidi="ar"/>
              </w:rPr>
              <w:t>、召开业主大会会议</w:t>
            </w:r>
          </w:p>
        </w:tc>
        <w:tc>
          <w:tcPr>
            <w:tcW w:w="3975" w:type="dxa"/>
            <w:vMerge w:val="restart"/>
            <w:tcBorders>
              <w:top w:val="single" w:color="000000" w:sz="4" w:space="0"/>
              <w:left w:val="single" w:color="000000" w:sz="4" w:space="0"/>
              <w:bottom w:val="single" w:color="000000" w:sz="4" w:space="0"/>
              <w:right w:val="single" w:color="000000" w:sz="4" w:space="0"/>
            </w:tcBorders>
            <w:noWrap w:val="0"/>
            <w:vAlign w:val="center"/>
          </w:tcPr>
          <w:p w14:paraId="4FC6DF9D">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（一）业主委员会应当按照业主大会议事规则的规定组织召开业主大会定期会议；</w:t>
            </w:r>
          </w:p>
          <w:p w14:paraId="488F0E2A">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（二）在经20%以上的业主提议、发生重大事故或者紧急事件需要及时处理等情形下，业主委员会应当组织召开业主大会临时会议；</w:t>
            </w:r>
          </w:p>
          <w:p w14:paraId="046F9C25">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sz w:val="32"/>
                <w:szCs w:val="32"/>
              </w:rPr>
            </w:pPr>
            <w:r>
              <w:rPr>
                <w:rFonts w:hint="default" w:ascii="Times New Roman" w:hAnsi="Times New Roman" w:eastAsia="方正仿宋_GBK" w:cs="Times New Roman"/>
                <w:color w:val="000000"/>
                <w:spacing w:val="-6"/>
                <w:kern w:val="0"/>
                <w:sz w:val="32"/>
                <w:szCs w:val="32"/>
                <w:lang w:bidi="ar"/>
              </w:rPr>
              <w:t>（三）组织召开业主大会会议，业主委员会应当至少提前15日通知全体业主和社区（村），并做好业主大会会议记录。</w:t>
            </w:r>
          </w:p>
        </w:tc>
        <w:tc>
          <w:tcPr>
            <w:tcW w:w="10110" w:type="dxa"/>
            <w:tcBorders>
              <w:top w:val="single" w:color="000000" w:sz="4" w:space="0"/>
              <w:left w:val="single" w:color="000000" w:sz="4" w:space="0"/>
              <w:bottom w:val="single" w:color="000000" w:sz="4" w:space="0"/>
              <w:right w:val="single" w:color="000000" w:sz="4" w:space="0"/>
            </w:tcBorders>
            <w:noWrap w:val="0"/>
            <w:vAlign w:val="center"/>
          </w:tcPr>
          <w:p w14:paraId="5FDE197F">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《物业管理条例》第十三条  业主大会会议分为定期会议和临时会议。</w:t>
            </w:r>
          </w:p>
          <w:p w14:paraId="3AD8FD18">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sz w:val="32"/>
                <w:szCs w:val="32"/>
              </w:rPr>
            </w:pPr>
            <w:r>
              <w:rPr>
                <w:rFonts w:hint="default" w:ascii="Times New Roman" w:hAnsi="Times New Roman" w:eastAsia="方正仿宋_GBK" w:cs="Times New Roman"/>
                <w:color w:val="000000"/>
                <w:spacing w:val="-6"/>
                <w:kern w:val="0"/>
                <w:sz w:val="32"/>
                <w:szCs w:val="32"/>
                <w:lang w:bidi="ar"/>
              </w:rPr>
              <w:t>业主大会定期会议应当按照业主大会议事规则的规定召开。经20%以上的业主提议，业主委员会应当组织召开业主大会临时会议。</w:t>
            </w:r>
          </w:p>
        </w:tc>
      </w:tr>
      <w:tr w14:paraId="6FFC16E7">
        <w:tblPrEx>
          <w:tblCellMar>
            <w:top w:w="0" w:type="dxa"/>
            <w:left w:w="108" w:type="dxa"/>
            <w:bottom w:w="0" w:type="dxa"/>
            <w:right w:w="108" w:type="dxa"/>
          </w:tblCellMar>
        </w:tblPrEx>
        <w:trPr>
          <w:trHeight w:val="1337" w:hRule="atLeast"/>
        </w:trPr>
        <w:tc>
          <w:tcPr>
            <w:tcW w:w="687" w:type="dxa"/>
            <w:vMerge w:val="continue"/>
            <w:tcBorders>
              <w:top w:val="single" w:color="000000" w:sz="4" w:space="0"/>
              <w:left w:val="single" w:color="000000" w:sz="4" w:space="0"/>
              <w:bottom w:val="single" w:color="000000" w:sz="4" w:space="0"/>
              <w:right w:val="single" w:color="000000" w:sz="4" w:space="0"/>
            </w:tcBorders>
            <w:noWrap/>
            <w:vAlign w:val="center"/>
          </w:tcPr>
          <w:p w14:paraId="4948AE8F">
            <w:pPr>
              <w:keepNext w:val="0"/>
              <w:keepLines w:val="0"/>
              <w:pageBreakBefore w:val="0"/>
              <w:kinsoku/>
              <w:wordWrap/>
              <w:overflowPunct/>
              <w:topLinePunct w:val="0"/>
              <w:autoSpaceDE/>
              <w:autoSpaceDN/>
              <w:bidi w:val="0"/>
              <w:adjustRightInd/>
              <w:snapToGrid/>
              <w:spacing w:line="590" w:lineRule="exact"/>
              <w:ind w:left="0" w:leftChars="0" w:firstLine="0" w:firstLineChars="0"/>
              <w:jc w:val="center"/>
              <w:rPr>
                <w:rFonts w:hint="default" w:ascii="Times New Roman" w:hAnsi="Times New Roman" w:eastAsia="方正仿宋_GBK" w:cs="Times New Roman"/>
                <w:b/>
                <w:bCs/>
                <w:color w:val="000000"/>
                <w:spacing w:val="-6"/>
                <w:sz w:val="32"/>
                <w:szCs w:val="32"/>
              </w:rPr>
            </w:pPr>
          </w:p>
        </w:tc>
        <w:tc>
          <w:tcPr>
            <w:tcW w:w="3975" w:type="dxa"/>
            <w:vMerge w:val="continue"/>
            <w:tcBorders>
              <w:top w:val="single" w:color="000000" w:sz="4" w:space="0"/>
              <w:left w:val="single" w:color="000000" w:sz="4" w:space="0"/>
              <w:bottom w:val="single" w:color="000000" w:sz="4" w:space="0"/>
              <w:right w:val="single" w:color="000000" w:sz="4" w:space="0"/>
            </w:tcBorders>
            <w:noWrap w:val="0"/>
            <w:vAlign w:val="center"/>
          </w:tcPr>
          <w:p w14:paraId="0E886981">
            <w:pPr>
              <w:keepNext w:val="0"/>
              <w:keepLines w:val="0"/>
              <w:pageBreakBefore w:val="0"/>
              <w:kinsoku/>
              <w:wordWrap/>
              <w:overflowPunct/>
              <w:topLinePunct w:val="0"/>
              <w:autoSpaceDE/>
              <w:autoSpaceDN/>
              <w:bidi w:val="0"/>
              <w:adjustRightInd/>
              <w:snapToGrid/>
              <w:spacing w:line="590" w:lineRule="exact"/>
              <w:ind w:left="0" w:leftChars="0" w:firstLine="0" w:firstLineChars="0"/>
              <w:jc w:val="left"/>
              <w:rPr>
                <w:rFonts w:hint="default" w:ascii="Times New Roman" w:hAnsi="Times New Roman" w:eastAsia="方正仿宋_GBK" w:cs="Times New Roman"/>
                <w:color w:val="000000"/>
                <w:spacing w:val="-6"/>
                <w:sz w:val="32"/>
                <w:szCs w:val="32"/>
              </w:rPr>
            </w:pPr>
          </w:p>
        </w:tc>
        <w:tc>
          <w:tcPr>
            <w:tcW w:w="10110" w:type="dxa"/>
            <w:tcBorders>
              <w:top w:val="single" w:color="000000" w:sz="4" w:space="0"/>
              <w:left w:val="single" w:color="000000" w:sz="4" w:space="0"/>
              <w:bottom w:val="single" w:color="000000" w:sz="4" w:space="0"/>
              <w:right w:val="single" w:color="000000" w:sz="4" w:space="0"/>
            </w:tcBorders>
            <w:noWrap w:val="0"/>
            <w:vAlign w:val="center"/>
          </w:tcPr>
          <w:p w14:paraId="72256138">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《物业管理条例》第十四条  召开业主大会会议，应当于会议召开15日以前通知全体业主。</w:t>
            </w:r>
          </w:p>
          <w:p w14:paraId="3D51C0B7">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住宅小区的业主大会会议，应当同时告知相关的居民委员会。</w:t>
            </w:r>
          </w:p>
          <w:p w14:paraId="6ADA0407">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sz w:val="32"/>
                <w:szCs w:val="32"/>
              </w:rPr>
            </w:pPr>
            <w:r>
              <w:rPr>
                <w:rFonts w:hint="default" w:ascii="Times New Roman" w:hAnsi="Times New Roman" w:eastAsia="方正仿宋_GBK" w:cs="Times New Roman"/>
                <w:color w:val="000000"/>
                <w:spacing w:val="-6"/>
                <w:kern w:val="0"/>
                <w:sz w:val="32"/>
                <w:szCs w:val="32"/>
                <w:lang w:bidi="ar"/>
              </w:rPr>
              <w:t>业主委员会应当做好业主大会会议记录。</w:t>
            </w:r>
          </w:p>
        </w:tc>
      </w:tr>
      <w:tr w14:paraId="174D6A23">
        <w:tblPrEx>
          <w:tblCellMar>
            <w:top w:w="0" w:type="dxa"/>
            <w:left w:w="108" w:type="dxa"/>
            <w:bottom w:w="0" w:type="dxa"/>
            <w:right w:w="108" w:type="dxa"/>
          </w:tblCellMar>
        </w:tblPrEx>
        <w:trPr>
          <w:trHeight w:val="1710" w:hRule="atLeast"/>
        </w:trPr>
        <w:tc>
          <w:tcPr>
            <w:tcW w:w="687" w:type="dxa"/>
            <w:vMerge w:val="continue"/>
            <w:tcBorders>
              <w:top w:val="single" w:color="000000" w:sz="4" w:space="0"/>
              <w:left w:val="single" w:color="000000" w:sz="4" w:space="0"/>
              <w:bottom w:val="single" w:color="000000" w:sz="4" w:space="0"/>
              <w:right w:val="single" w:color="000000" w:sz="4" w:space="0"/>
            </w:tcBorders>
            <w:noWrap/>
            <w:vAlign w:val="center"/>
          </w:tcPr>
          <w:p w14:paraId="0F9EB1FA">
            <w:pPr>
              <w:keepNext w:val="0"/>
              <w:keepLines w:val="0"/>
              <w:pageBreakBefore w:val="0"/>
              <w:kinsoku/>
              <w:wordWrap/>
              <w:overflowPunct/>
              <w:topLinePunct w:val="0"/>
              <w:autoSpaceDE/>
              <w:autoSpaceDN/>
              <w:bidi w:val="0"/>
              <w:adjustRightInd/>
              <w:snapToGrid/>
              <w:spacing w:line="590" w:lineRule="exact"/>
              <w:ind w:left="0" w:leftChars="0" w:firstLine="0" w:firstLineChars="0"/>
              <w:jc w:val="center"/>
              <w:rPr>
                <w:rFonts w:hint="default" w:ascii="Times New Roman" w:hAnsi="Times New Roman" w:eastAsia="方正仿宋_GBK" w:cs="Times New Roman"/>
                <w:b/>
                <w:bCs/>
                <w:color w:val="000000"/>
                <w:spacing w:val="-6"/>
                <w:sz w:val="32"/>
                <w:szCs w:val="32"/>
              </w:rPr>
            </w:pPr>
          </w:p>
        </w:tc>
        <w:tc>
          <w:tcPr>
            <w:tcW w:w="3975" w:type="dxa"/>
            <w:vMerge w:val="continue"/>
            <w:tcBorders>
              <w:top w:val="single" w:color="000000" w:sz="4" w:space="0"/>
              <w:left w:val="single" w:color="000000" w:sz="4" w:space="0"/>
              <w:bottom w:val="single" w:color="000000" w:sz="4" w:space="0"/>
              <w:right w:val="single" w:color="000000" w:sz="4" w:space="0"/>
            </w:tcBorders>
            <w:noWrap w:val="0"/>
            <w:vAlign w:val="center"/>
          </w:tcPr>
          <w:p w14:paraId="2D2A7503">
            <w:pPr>
              <w:keepNext w:val="0"/>
              <w:keepLines w:val="0"/>
              <w:pageBreakBefore w:val="0"/>
              <w:kinsoku/>
              <w:wordWrap/>
              <w:overflowPunct/>
              <w:topLinePunct w:val="0"/>
              <w:autoSpaceDE/>
              <w:autoSpaceDN/>
              <w:bidi w:val="0"/>
              <w:adjustRightInd/>
              <w:snapToGrid/>
              <w:spacing w:line="590" w:lineRule="exact"/>
              <w:ind w:left="0" w:leftChars="0" w:firstLine="0" w:firstLineChars="0"/>
              <w:jc w:val="left"/>
              <w:rPr>
                <w:rFonts w:hint="default" w:ascii="Times New Roman" w:hAnsi="Times New Roman" w:eastAsia="方正仿宋_GBK" w:cs="Times New Roman"/>
                <w:color w:val="000000"/>
                <w:spacing w:val="-6"/>
                <w:sz w:val="32"/>
                <w:szCs w:val="32"/>
              </w:rPr>
            </w:pPr>
          </w:p>
        </w:tc>
        <w:tc>
          <w:tcPr>
            <w:tcW w:w="10110" w:type="dxa"/>
            <w:tcBorders>
              <w:top w:val="single" w:color="000000" w:sz="4" w:space="0"/>
              <w:left w:val="single" w:color="000000" w:sz="4" w:space="0"/>
              <w:bottom w:val="single" w:color="000000" w:sz="4" w:space="0"/>
              <w:right w:val="single" w:color="000000" w:sz="4" w:space="0"/>
            </w:tcBorders>
            <w:noWrap w:val="0"/>
            <w:vAlign w:val="center"/>
          </w:tcPr>
          <w:p w14:paraId="066D4AD3">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《安徽省物业管理条例》第二十二条  业主大会会议分为定期会议和临时会议</w:t>
            </w:r>
          </w:p>
          <w:p w14:paraId="6E4DF3D4">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业主大会定期会议应当按照业主大会议事规则的规定召开。有下列情形之一的，业主委员会应当及时组织召开业主</w:t>
            </w:r>
          </w:p>
          <w:p w14:paraId="637FE35B">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大会临时会议：</w:t>
            </w:r>
          </w:p>
          <w:p w14:paraId="4F82E40A">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（一）经专有部分占建筑物总面积百分之二十以上且占总人数百分之二十以上业主提议的；</w:t>
            </w:r>
          </w:p>
          <w:p w14:paraId="097BC4FA">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（二）发生重大事故或者紧急事件需要及时处理的；</w:t>
            </w:r>
          </w:p>
          <w:p w14:paraId="6E8EEE13">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sz w:val="32"/>
                <w:szCs w:val="32"/>
              </w:rPr>
            </w:pPr>
            <w:r>
              <w:rPr>
                <w:rFonts w:hint="default" w:ascii="Times New Roman" w:hAnsi="Times New Roman" w:eastAsia="方正仿宋_GBK" w:cs="Times New Roman"/>
                <w:color w:val="000000"/>
                <w:spacing w:val="-6"/>
                <w:kern w:val="0"/>
                <w:sz w:val="32"/>
                <w:szCs w:val="32"/>
                <w:lang w:bidi="ar"/>
              </w:rPr>
              <w:t>（三）业主大会议事规则或者管理规约规定的其他情形。</w:t>
            </w:r>
          </w:p>
        </w:tc>
      </w:tr>
      <w:tr w14:paraId="01F604A3">
        <w:tblPrEx>
          <w:tblCellMar>
            <w:top w:w="0" w:type="dxa"/>
            <w:left w:w="108" w:type="dxa"/>
            <w:bottom w:w="0" w:type="dxa"/>
            <w:right w:w="108" w:type="dxa"/>
          </w:tblCellMar>
        </w:tblPrEx>
        <w:trPr>
          <w:trHeight w:val="570" w:hRule="atLeast"/>
        </w:trPr>
        <w:tc>
          <w:tcPr>
            <w:tcW w:w="687" w:type="dxa"/>
            <w:vMerge w:val="restart"/>
            <w:tcBorders>
              <w:top w:val="single" w:color="000000" w:sz="4" w:space="0"/>
              <w:left w:val="single" w:color="000000" w:sz="4" w:space="0"/>
              <w:bottom w:val="single" w:color="000000" w:sz="4" w:space="0"/>
              <w:right w:val="single" w:color="000000" w:sz="4" w:space="0"/>
            </w:tcBorders>
            <w:noWrap/>
            <w:vAlign w:val="center"/>
          </w:tcPr>
          <w:p w14:paraId="0CC5B642">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center"/>
              <w:textAlignment w:val="center"/>
              <w:rPr>
                <w:rFonts w:hint="default" w:ascii="Times New Roman" w:hAnsi="Times New Roman" w:eastAsia="方正仿宋_GBK" w:cs="Times New Roman"/>
                <w:b/>
                <w:bCs/>
                <w:color w:val="000000"/>
                <w:spacing w:val="-6"/>
                <w:sz w:val="32"/>
                <w:szCs w:val="32"/>
              </w:rPr>
            </w:pPr>
            <w:r>
              <w:rPr>
                <w:rFonts w:hint="eastAsia" w:ascii="方正楷体_GBK" w:hAnsi="方正楷体_GBK" w:eastAsia="方正楷体_GBK" w:cs="方正楷体_GBK"/>
                <w:b/>
                <w:bCs/>
                <w:color w:val="000000"/>
                <w:spacing w:val="-6"/>
                <w:kern w:val="0"/>
                <w:sz w:val="30"/>
                <w:szCs w:val="30"/>
                <w:lang w:eastAsia="zh-CN" w:bidi="ar"/>
              </w:rPr>
              <w:t>四</w:t>
            </w:r>
            <w:r>
              <w:rPr>
                <w:rFonts w:hint="default" w:ascii="方正楷体_GBK" w:hAnsi="方正楷体_GBK" w:eastAsia="方正楷体_GBK" w:cs="方正楷体_GBK"/>
                <w:b/>
                <w:bCs/>
                <w:color w:val="000000"/>
                <w:spacing w:val="-6"/>
                <w:kern w:val="0"/>
                <w:sz w:val="30"/>
                <w:szCs w:val="30"/>
                <w:lang w:eastAsia="zh-CN" w:bidi="ar"/>
              </w:rPr>
              <w:t>、召开业主委员会会议</w:t>
            </w:r>
          </w:p>
        </w:tc>
        <w:tc>
          <w:tcPr>
            <w:tcW w:w="3975" w:type="dxa"/>
            <w:vMerge w:val="restart"/>
            <w:tcBorders>
              <w:top w:val="single" w:color="000000" w:sz="4" w:space="0"/>
              <w:left w:val="single" w:color="000000" w:sz="4" w:space="0"/>
              <w:bottom w:val="single" w:color="000000" w:sz="4" w:space="0"/>
              <w:right w:val="single" w:color="000000" w:sz="4" w:space="0"/>
            </w:tcBorders>
            <w:noWrap w:val="0"/>
            <w:vAlign w:val="center"/>
          </w:tcPr>
          <w:p w14:paraId="5BED44E6">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（一）业主委员会应当自选举产生之日起三日内召开首次会议，推选产生主任1人、副主任1至2人；</w:t>
            </w:r>
          </w:p>
          <w:p w14:paraId="76D9272A">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（二）业主委员会应当按照业主大会议事规则的规定及业主大会的决定召开会议。经1/3以上业主委员会委员的提议，应当在7日内召开业主委员会会议；</w:t>
            </w:r>
          </w:p>
          <w:p w14:paraId="30BD575A">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（三）业主委员会应当于会议召开7日前，在物业管理区域内公告业主委员会会议的内容和议程，听取业主的意见和建议；</w:t>
            </w:r>
          </w:p>
          <w:p w14:paraId="378C0799">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（四）业主委员会会议应当制作会议书面记录并存档，作出的决定应当经全体成员过半数通过和签字确认，并自作出决定之日起3日内在物业管理区域内公告；</w:t>
            </w:r>
          </w:p>
          <w:p w14:paraId="283C655B">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sz w:val="32"/>
                <w:szCs w:val="32"/>
              </w:rPr>
            </w:pPr>
            <w:r>
              <w:rPr>
                <w:rFonts w:hint="default" w:ascii="Times New Roman" w:hAnsi="Times New Roman" w:eastAsia="方正仿宋_GBK" w:cs="Times New Roman"/>
                <w:color w:val="000000"/>
                <w:spacing w:val="-6"/>
                <w:kern w:val="0"/>
                <w:sz w:val="32"/>
                <w:szCs w:val="32"/>
                <w:lang w:bidi="ar"/>
              </w:rPr>
              <w:t>（五）召开业主委员会会议，应当有过半数委员出席，同时应告知社区（村），并听取社区（村）的建议；业主委员会委员不得委托他人出席业主委员会会议。</w:t>
            </w:r>
          </w:p>
        </w:tc>
        <w:tc>
          <w:tcPr>
            <w:tcW w:w="10110" w:type="dxa"/>
            <w:tcBorders>
              <w:top w:val="single" w:color="000000" w:sz="4" w:space="0"/>
              <w:left w:val="single" w:color="000000" w:sz="4" w:space="0"/>
              <w:bottom w:val="single" w:color="000000" w:sz="4" w:space="0"/>
              <w:right w:val="single" w:color="000000" w:sz="4" w:space="0"/>
            </w:tcBorders>
            <w:noWrap w:val="0"/>
            <w:vAlign w:val="center"/>
          </w:tcPr>
          <w:p w14:paraId="1C429685">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sz w:val="32"/>
                <w:szCs w:val="32"/>
              </w:rPr>
            </w:pPr>
            <w:r>
              <w:rPr>
                <w:rFonts w:hint="default" w:ascii="Times New Roman" w:hAnsi="Times New Roman" w:eastAsia="方正仿宋_GBK" w:cs="Times New Roman"/>
                <w:color w:val="000000"/>
                <w:spacing w:val="-6"/>
                <w:kern w:val="0"/>
                <w:sz w:val="32"/>
                <w:szCs w:val="32"/>
                <w:lang w:bidi="ar"/>
              </w:rPr>
              <w:t>《安徽省物业管理条例》第二十五条第二款  业主委员会应当自选举产生之日起三日内召开首次会议，推选产生主任一人、副主任一至二人。经业主大会同意，业主委员会可以聘请执行秘书，负责处理业主委员会日常事务。</w:t>
            </w:r>
          </w:p>
        </w:tc>
      </w:tr>
      <w:tr w14:paraId="5D6570B9">
        <w:tblPrEx>
          <w:tblCellMar>
            <w:top w:w="0" w:type="dxa"/>
            <w:left w:w="108" w:type="dxa"/>
            <w:bottom w:w="0" w:type="dxa"/>
            <w:right w:w="108" w:type="dxa"/>
          </w:tblCellMar>
        </w:tblPrEx>
        <w:trPr>
          <w:trHeight w:val="1140" w:hRule="atLeast"/>
        </w:trPr>
        <w:tc>
          <w:tcPr>
            <w:tcW w:w="687" w:type="dxa"/>
            <w:vMerge w:val="continue"/>
            <w:tcBorders>
              <w:top w:val="single" w:color="000000" w:sz="4" w:space="0"/>
              <w:left w:val="single" w:color="000000" w:sz="4" w:space="0"/>
              <w:bottom w:val="single" w:color="000000" w:sz="4" w:space="0"/>
              <w:right w:val="single" w:color="000000" w:sz="4" w:space="0"/>
            </w:tcBorders>
            <w:noWrap/>
            <w:vAlign w:val="center"/>
          </w:tcPr>
          <w:p w14:paraId="5CCE0C95">
            <w:pPr>
              <w:keepNext w:val="0"/>
              <w:keepLines w:val="0"/>
              <w:pageBreakBefore w:val="0"/>
              <w:kinsoku/>
              <w:wordWrap/>
              <w:overflowPunct/>
              <w:topLinePunct w:val="0"/>
              <w:autoSpaceDE/>
              <w:autoSpaceDN/>
              <w:bidi w:val="0"/>
              <w:adjustRightInd/>
              <w:snapToGrid/>
              <w:spacing w:line="590" w:lineRule="exact"/>
              <w:ind w:left="0" w:leftChars="0" w:firstLine="0" w:firstLineChars="0"/>
              <w:jc w:val="center"/>
              <w:rPr>
                <w:rFonts w:hint="default" w:ascii="Times New Roman" w:hAnsi="Times New Roman" w:eastAsia="方正仿宋_GBK" w:cs="Times New Roman"/>
                <w:b/>
                <w:bCs/>
                <w:color w:val="000000"/>
                <w:spacing w:val="-6"/>
                <w:sz w:val="32"/>
                <w:szCs w:val="32"/>
              </w:rPr>
            </w:pPr>
          </w:p>
        </w:tc>
        <w:tc>
          <w:tcPr>
            <w:tcW w:w="3975" w:type="dxa"/>
            <w:vMerge w:val="continue"/>
            <w:tcBorders>
              <w:top w:val="single" w:color="000000" w:sz="4" w:space="0"/>
              <w:left w:val="single" w:color="000000" w:sz="4" w:space="0"/>
              <w:bottom w:val="single" w:color="000000" w:sz="4" w:space="0"/>
              <w:right w:val="single" w:color="000000" w:sz="4" w:space="0"/>
            </w:tcBorders>
            <w:noWrap w:val="0"/>
            <w:vAlign w:val="center"/>
          </w:tcPr>
          <w:p w14:paraId="118B4C57">
            <w:pPr>
              <w:keepNext w:val="0"/>
              <w:keepLines w:val="0"/>
              <w:pageBreakBefore w:val="0"/>
              <w:kinsoku/>
              <w:wordWrap/>
              <w:overflowPunct/>
              <w:topLinePunct w:val="0"/>
              <w:autoSpaceDE/>
              <w:autoSpaceDN/>
              <w:bidi w:val="0"/>
              <w:adjustRightInd/>
              <w:snapToGrid/>
              <w:spacing w:line="590" w:lineRule="exact"/>
              <w:ind w:left="0" w:leftChars="0" w:firstLine="0" w:firstLineChars="0"/>
              <w:jc w:val="left"/>
              <w:rPr>
                <w:rFonts w:hint="default" w:ascii="Times New Roman" w:hAnsi="Times New Roman" w:eastAsia="方正仿宋_GBK" w:cs="Times New Roman"/>
                <w:color w:val="000000"/>
                <w:spacing w:val="-6"/>
                <w:sz w:val="32"/>
                <w:szCs w:val="32"/>
              </w:rPr>
            </w:pPr>
          </w:p>
        </w:tc>
        <w:tc>
          <w:tcPr>
            <w:tcW w:w="10110" w:type="dxa"/>
            <w:tcBorders>
              <w:top w:val="single" w:color="000000" w:sz="4" w:space="0"/>
              <w:left w:val="single" w:color="000000" w:sz="4" w:space="0"/>
              <w:bottom w:val="single" w:color="000000" w:sz="4" w:space="0"/>
              <w:right w:val="single" w:color="000000" w:sz="4" w:space="0"/>
            </w:tcBorders>
            <w:noWrap w:val="0"/>
            <w:vAlign w:val="center"/>
          </w:tcPr>
          <w:p w14:paraId="6A19467D">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《安徽省物业管理条例》第二十八条第一、二、三款  业主委员会会议由主任召集和主持。主任因故不能履行职责时，由副主任召集和主持。经三分之一以上委员提议召开业主委员会会议的，应当在七日内召开。主任、副主任无正当理由不召集业主委员会会议的，由街道办事处或者乡镇人民政府指定一名委员召集和主持业主委员会会议。</w:t>
            </w:r>
          </w:p>
          <w:p w14:paraId="03F875B6">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业主委员会会议应当有过半数委员出席，作出的决定应当经全体成员过半数通过，并在物业管理区域内显著位置公告。</w:t>
            </w:r>
          </w:p>
          <w:p w14:paraId="51F11DC3">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sz w:val="32"/>
                <w:szCs w:val="32"/>
              </w:rPr>
            </w:pPr>
            <w:r>
              <w:rPr>
                <w:rFonts w:hint="default" w:ascii="Times New Roman" w:hAnsi="Times New Roman" w:eastAsia="方正仿宋_GBK" w:cs="Times New Roman"/>
                <w:color w:val="000000"/>
                <w:spacing w:val="-6"/>
                <w:kern w:val="0"/>
                <w:sz w:val="32"/>
                <w:szCs w:val="32"/>
                <w:lang w:bidi="ar"/>
              </w:rPr>
              <w:t>业主委员会委员不得委托他人出席业主委员会会议。</w:t>
            </w:r>
          </w:p>
        </w:tc>
      </w:tr>
      <w:tr w14:paraId="11E9E47B">
        <w:tblPrEx>
          <w:tblCellMar>
            <w:top w:w="0" w:type="dxa"/>
            <w:left w:w="108" w:type="dxa"/>
            <w:bottom w:w="0" w:type="dxa"/>
            <w:right w:w="108" w:type="dxa"/>
          </w:tblCellMar>
        </w:tblPrEx>
        <w:trPr>
          <w:trHeight w:val="570" w:hRule="atLeast"/>
        </w:trPr>
        <w:tc>
          <w:tcPr>
            <w:tcW w:w="687" w:type="dxa"/>
            <w:vMerge w:val="continue"/>
            <w:tcBorders>
              <w:top w:val="single" w:color="000000" w:sz="4" w:space="0"/>
              <w:left w:val="single" w:color="000000" w:sz="4" w:space="0"/>
              <w:bottom w:val="single" w:color="000000" w:sz="4" w:space="0"/>
              <w:right w:val="single" w:color="000000" w:sz="4" w:space="0"/>
            </w:tcBorders>
            <w:noWrap/>
            <w:vAlign w:val="center"/>
          </w:tcPr>
          <w:p w14:paraId="0774A0EB">
            <w:pPr>
              <w:keepNext w:val="0"/>
              <w:keepLines w:val="0"/>
              <w:pageBreakBefore w:val="0"/>
              <w:kinsoku/>
              <w:wordWrap/>
              <w:overflowPunct/>
              <w:topLinePunct w:val="0"/>
              <w:autoSpaceDE/>
              <w:autoSpaceDN/>
              <w:bidi w:val="0"/>
              <w:adjustRightInd/>
              <w:snapToGrid/>
              <w:spacing w:line="590" w:lineRule="exact"/>
              <w:ind w:left="0" w:leftChars="0" w:firstLine="0" w:firstLineChars="0"/>
              <w:jc w:val="center"/>
              <w:rPr>
                <w:rFonts w:hint="default" w:ascii="Times New Roman" w:hAnsi="Times New Roman" w:eastAsia="方正仿宋_GBK" w:cs="Times New Roman"/>
                <w:b/>
                <w:bCs/>
                <w:color w:val="000000"/>
                <w:spacing w:val="-6"/>
                <w:sz w:val="32"/>
                <w:szCs w:val="32"/>
              </w:rPr>
            </w:pPr>
          </w:p>
        </w:tc>
        <w:tc>
          <w:tcPr>
            <w:tcW w:w="3975" w:type="dxa"/>
            <w:vMerge w:val="continue"/>
            <w:tcBorders>
              <w:top w:val="single" w:color="000000" w:sz="4" w:space="0"/>
              <w:left w:val="single" w:color="000000" w:sz="4" w:space="0"/>
              <w:bottom w:val="single" w:color="000000" w:sz="4" w:space="0"/>
              <w:right w:val="single" w:color="000000" w:sz="4" w:space="0"/>
            </w:tcBorders>
            <w:noWrap w:val="0"/>
            <w:vAlign w:val="center"/>
          </w:tcPr>
          <w:p w14:paraId="21A8F7CC">
            <w:pPr>
              <w:keepNext w:val="0"/>
              <w:keepLines w:val="0"/>
              <w:pageBreakBefore w:val="0"/>
              <w:kinsoku/>
              <w:wordWrap/>
              <w:overflowPunct/>
              <w:topLinePunct w:val="0"/>
              <w:autoSpaceDE/>
              <w:autoSpaceDN/>
              <w:bidi w:val="0"/>
              <w:adjustRightInd/>
              <w:snapToGrid/>
              <w:spacing w:line="590" w:lineRule="exact"/>
              <w:ind w:left="0" w:leftChars="0" w:firstLine="0" w:firstLineChars="0"/>
              <w:jc w:val="left"/>
              <w:rPr>
                <w:rFonts w:hint="default" w:ascii="Times New Roman" w:hAnsi="Times New Roman" w:eastAsia="方正仿宋_GBK" w:cs="Times New Roman"/>
                <w:color w:val="000000"/>
                <w:spacing w:val="-6"/>
                <w:sz w:val="32"/>
                <w:szCs w:val="32"/>
              </w:rPr>
            </w:pPr>
          </w:p>
        </w:tc>
        <w:tc>
          <w:tcPr>
            <w:tcW w:w="10110" w:type="dxa"/>
            <w:tcBorders>
              <w:top w:val="single" w:color="000000" w:sz="4" w:space="0"/>
              <w:left w:val="single" w:color="000000" w:sz="4" w:space="0"/>
              <w:bottom w:val="single" w:color="000000" w:sz="4" w:space="0"/>
              <w:right w:val="single" w:color="000000" w:sz="4" w:space="0"/>
            </w:tcBorders>
            <w:noWrap w:val="0"/>
            <w:vAlign w:val="center"/>
          </w:tcPr>
          <w:p w14:paraId="3890D6E6">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sz w:val="32"/>
                <w:szCs w:val="32"/>
              </w:rPr>
            </w:pPr>
            <w:r>
              <w:rPr>
                <w:rFonts w:hint="default" w:ascii="Times New Roman" w:hAnsi="Times New Roman" w:eastAsia="方正仿宋_GBK" w:cs="Times New Roman"/>
                <w:color w:val="000000"/>
                <w:spacing w:val="-6"/>
                <w:kern w:val="0"/>
                <w:sz w:val="32"/>
                <w:szCs w:val="32"/>
                <w:lang w:bidi="ar"/>
              </w:rPr>
              <w:t>《业主</w:t>
            </w:r>
            <w:r>
              <w:rPr>
                <w:rFonts w:hint="eastAsia" w:ascii="Times New Roman" w:hAnsi="Times New Roman" w:eastAsia="方正仿宋_GBK" w:cs="Times New Roman"/>
                <w:color w:val="000000"/>
                <w:spacing w:val="-6"/>
                <w:kern w:val="0"/>
                <w:sz w:val="32"/>
                <w:szCs w:val="32"/>
                <w:lang w:eastAsia="zh-CN" w:bidi="ar"/>
              </w:rPr>
              <w:t>大</w:t>
            </w:r>
            <w:r>
              <w:rPr>
                <w:rFonts w:hint="default" w:ascii="Times New Roman" w:hAnsi="Times New Roman" w:eastAsia="方正仿宋_GBK" w:cs="Times New Roman"/>
                <w:color w:val="000000"/>
                <w:spacing w:val="-6"/>
                <w:kern w:val="0"/>
                <w:sz w:val="32"/>
                <w:szCs w:val="32"/>
                <w:lang w:bidi="ar"/>
              </w:rPr>
              <w:t>会和业主委员会指导规则》第三十七条  业主委员会应当按照业主大会议事规则的规定及业主大会的决定召开会议。经三分之一以上业主委员会委员的提议，应当在7日内召开业主委员会会议。</w:t>
            </w:r>
          </w:p>
        </w:tc>
      </w:tr>
      <w:tr w14:paraId="64C64171">
        <w:tblPrEx>
          <w:tblCellMar>
            <w:top w:w="0" w:type="dxa"/>
            <w:left w:w="108" w:type="dxa"/>
            <w:bottom w:w="0" w:type="dxa"/>
            <w:right w:w="108" w:type="dxa"/>
          </w:tblCellMar>
        </w:tblPrEx>
        <w:trPr>
          <w:trHeight w:val="570" w:hRule="atLeast"/>
        </w:trPr>
        <w:tc>
          <w:tcPr>
            <w:tcW w:w="687" w:type="dxa"/>
            <w:vMerge w:val="continue"/>
            <w:tcBorders>
              <w:top w:val="single" w:color="000000" w:sz="4" w:space="0"/>
              <w:left w:val="single" w:color="000000" w:sz="4" w:space="0"/>
              <w:bottom w:val="single" w:color="000000" w:sz="4" w:space="0"/>
              <w:right w:val="single" w:color="000000" w:sz="4" w:space="0"/>
            </w:tcBorders>
            <w:noWrap/>
            <w:vAlign w:val="center"/>
          </w:tcPr>
          <w:p w14:paraId="19761C49">
            <w:pPr>
              <w:keepNext w:val="0"/>
              <w:keepLines w:val="0"/>
              <w:pageBreakBefore w:val="0"/>
              <w:kinsoku/>
              <w:wordWrap/>
              <w:overflowPunct/>
              <w:topLinePunct w:val="0"/>
              <w:autoSpaceDE/>
              <w:autoSpaceDN/>
              <w:bidi w:val="0"/>
              <w:adjustRightInd/>
              <w:snapToGrid/>
              <w:spacing w:line="590" w:lineRule="exact"/>
              <w:ind w:left="0" w:leftChars="0" w:firstLine="0" w:firstLineChars="0"/>
              <w:jc w:val="center"/>
              <w:rPr>
                <w:rFonts w:hint="default" w:ascii="Times New Roman" w:hAnsi="Times New Roman" w:eastAsia="方正仿宋_GBK" w:cs="Times New Roman"/>
                <w:b/>
                <w:bCs/>
                <w:color w:val="000000"/>
                <w:spacing w:val="-6"/>
                <w:sz w:val="32"/>
                <w:szCs w:val="32"/>
              </w:rPr>
            </w:pPr>
          </w:p>
        </w:tc>
        <w:tc>
          <w:tcPr>
            <w:tcW w:w="3975" w:type="dxa"/>
            <w:vMerge w:val="continue"/>
            <w:tcBorders>
              <w:top w:val="single" w:color="000000" w:sz="4" w:space="0"/>
              <w:left w:val="single" w:color="000000" w:sz="4" w:space="0"/>
              <w:bottom w:val="single" w:color="000000" w:sz="4" w:space="0"/>
              <w:right w:val="single" w:color="000000" w:sz="4" w:space="0"/>
            </w:tcBorders>
            <w:noWrap w:val="0"/>
            <w:vAlign w:val="center"/>
          </w:tcPr>
          <w:p w14:paraId="75A15A5F">
            <w:pPr>
              <w:keepNext w:val="0"/>
              <w:keepLines w:val="0"/>
              <w:pageBreakBefore w:val="0"/>
              <w:kinsoku/>
              <w:wordWrap/>
              <w:overflowPunct/>
              <w:topLinePunct w:val="0"/>
              <w:autoSpaceDE/>
              <w:autoSpaceDN/>
              <w:bidi w:val="0"/>
              <w:adjustRightInd/>
              <w:snapToGrid/>
              <w:spacing w:line="590" w:lineRule="exact"/>
              <w:ind w:left="0" w:leftChars="0" w:firstLine="0" w:firstLineChars="0"/>
              <w:jc w:val="left"/>
              <w:rPr>
                <w:rFonts w:hint="default" w:ascii="Times New Roman" w:hAnsi="Times New Roman" w:eastAsia="方正仿宋_GBK" w:cs="Times New Roman"/>
                <w:color w:val="000000"/>
                <w:spacing w:val="-6"/>
                <w:sz w:val="32"/>
                <w:szCs w:val="32"/>
              </w:rPr>
            </w:pPr>
          </w:p>
        </w:tc>
        <w:tc>
          <w:tcPr>
            <w:tcW w:w="10110" w:type="dxa"/>
            <w:tcBorders>
              <w:top w:val="single" w:color="000000" w:sz="4" w:space="0"/>
              <w:left w:val="single" w:color="000000" w:sz="4" w:space="0"/>
              <w:bottom w:val="single" w:color="000000" w:sz="4" w:space="0"/>
              <w:right w:val="single" w:color="000000" w:sz="4" w:space="0"/>
            </w:tcBorders>
            <w:noWrap w:val="0"/>
            <w:vAlign w:val="center"/>
          </w:tcPr>
          <w:p w14:paraId="2098E0D4">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《业主</w:t>
            </w:r>
            <w:r>
              <w:rPr>
                <w:rFonts w:hint="eastAsia" w:ascii="Times New Roman" w:hAnsi="Times New Roman" w:eastAsia="方正仿宋_GBK" w:cs="Times New Roman"/>
                <w:color w:val="000000"/>
                <w:spacing w:val="-6"/>
                <w:kern w:val="0"/>
                <w:sz w:val="32"/>
                <w:szCs w:val="32"/>
                <w:lang w:eastAsia="zh-CN" w:bidi="ar"/>
              </w:rPr>
              <w:t>大</w:t>
            </w:r>
            <w:r>
              <w:rPr>
                <w:rFonts w:hint="default" w:ascii="Times New Roman" w:hAnsi="Times New Roman" w:eastAsia="方正仿宋_GBK" w:cs="Times New Roman"/>
                <w:color w:val="000000"/>
                <w:spacing w:val="-6"/>
                <w:kern w:val="0"/>
                <w:sz w:val="32"/>
                <w:szCs w:val="32"/>
                <w:lang w:bidi="ar"/>
              </w:rPr>
              <w:t>会和业主委员会指导规则》第三十九条  业主委员会应当于会议召开7日前，在物业管理区域内公告业主委员会会议的内容和议程，听取业主的意见和建议。</w:t>
            </w:r>
          </w:p>
          <w:p w14:paraId="00C7D684">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sz w:val="32"/>
                <w:szCs w:val="32"/>
              </w:rPr>
            </w:pPr>
            <w:r>
              <w:rPr>
                <w:rFonts w:hint="default" w:ascii="Times New Roman" w:hAnsi="Times New Roman" w:eastAsia="方正仿宋_GBK" w:cs="Times New Roman"/>
                <w:color w:val="000000"/>
                <w:spacing w:val="-6"/>
                <w:kern w:val="0"/>
                <w:sz w:val="32"/>
                <w:szCs w:val="32"/>
                <w:lang w:bidi="ar"/>
              </w:rPr>
              <w:t>业主委员会会议应当制作书面记录并存档，业主委员会会议作出的决定，应当有参会委员的签字确认，并自作出决定之日起3日内在物业管理区域内公告。</w:t>
            </w:r>
          </w:p>
        </w:tc>
      </w:tr>
      <w:tr w14:paraId="548ADB69">
        <w:tblPrEx>
          <w:tblCellMar>
            <w:top w:w="0" w:type="dxa"/>
            <w:left w:w="108" w:type="dxa"/>
            <w:bottom w:w="0" w:type="dxa"/>
            <w:right w:w="108" w:type="dxa"/>
          </w:tblCellMar>
        </w:tblPrEx>
        <w:trPr>
          <w:trHeight w:val="1000" w:hRule="atLeast"/>
        </w:trPr>
        <w:tc>
          <w:tcPr>
            <w:tcW w:w="687" w:type="dxa"/>
            <w:vMerge w:val="continue"/>
            <w:tcBorders>
              <w:top w:val="single" w:color="000000" w:sz="4" w:space="0"/>
              <w:left w:val="single" w:color="000000" w:sz="4" w:space="0"/>
              <w:bottom w:val="single" w:color="000000" w:sz="4" w:space="0"/>
              <w:right w:val="single" w:color="000000" w:sz="4" w:space="0"/>
            </w:tcBorders>
            <w:noWrap/>
            <w:vAlign w:val="center"/>
          </w:tcPr>
          <w:p w14:paraId="784351EE">
            <w:pPr>
              <w:keepNext w:val="0"/>
              <w:keepLines w:val="0"/>
              <w:pageBreakBefore w:val="0"/>
              <w:kinsoku/>
              <w:wordWrap/>
              <w:overflowPunct/>
              <w:topLinePunct w:val="0"/>
              <w:autoSpaceDE/>
              <w:autoSpaceDN/>
              <w:bidi w:val="0"/>
              <w:adjustRightInd/>
              <w:snapToGrid/>
              <w:spacing w:line="590" w:lineRule="exact"/>
              <w:ind w:left="0" w:leftChars="0" w:firstLine="0" w:firstLineChars="0"/>
              <w:jc w:val="center"/>
              <w:rPr>
                <w:rFonts w:hint="default" w:ascii="Times New Roman" w:hAnsi="Times New Roman" w:eastAsia="方正仿宋_GBK" w:cs="Times New Roman"/>
                <w:b/>
                <w:bCs/>
                <w:color w:val="000000"/>
                <w:spacing w:val="-6"/>
                <w:sz w:val="32"/>
                <w:szCs w:val="32"/>
              </w:rPr>
            </w:pPr>
          </w:p>
        </w:tc>
        <w:tc>
          <w:tcPr>
            <w:tcW w:w="3975" w:type="dxa"/>
            <w:vMerge w:val="continue"/>
            <w:tcBorders>
              <w:top w:val="single" w:color="000000" w:sz="4" w:space="0"/>
              <w:left w:val="single" w:color="000000" w:sz="4" w:space="0"/>
              <w:bottom w:val="single" w:color="000000" w:sz="4" w:space="0"/>
              <w:right w:val="single" w:color="000000" w:sz="4" w:space="0"/>
            </w:tcBorders>
            <w:noWrap w:val="0"/>
            <w:vAlign w:val="center"/>
          </w:tcPr>
          <w:p w14:paraId="491A77A7">
            <w:pPr>
              <w:keepNext w:val="0"/>
              <w:keepLines w:val="0"/>
              <w:pageBreakBefore w:val="0"/>
              <w:kinsoku/>
              <w:wordWrap/>
              <w:overflowPunct/>
              <w:topLinePunct w:val="0"/>
              <w:autoSpaceDE/>
              <w:autoSpaceDN/>
              <w:bidi w:val="0"/>
              <w:adjustRightInd/>
              <w:snapToGrid/>
              <w:spacing w:line="590" w:lineRule="exact"/>
              <w:ind w:left="0" w:leftChars="0" w:firstLine="0" w:firstLineChars="0"/>
              <w:jc w:val="left"/>
              <w:rPr>
                <w:rFonts w:hint="default" w:ascii="Times New Roman" w:hAnsi="Times New Roman" w:eastAsia="方正仿宋_GBK" w:cs="Times New Roman"/>
                <w:color w:val="000000"/>
                <w:spacing w:val="-6"/>
                <w:sz w:val="32"/>
                <w:szCs w:val="32"/>
              </w:rPr>
            </w:pPr>
          </w:p>
        </w:tc>
        <w:tc>
          <w:tcPr>
            <w:tcW w:w="10110" w:type="dxa"/>
            <w:tcBorders>
              <w:top w:val="single" w:color="000000" w:sz="4" w:space="0"/>
              <w:left w:val="single" w:color="000000" w:sz="4" w:space="0"/>
              <w:bottom w:val="single" w:color="000000" w:sz="4" w:space="0"/>
              <w:right w:val="single" w:color="000000" w:sz="4" w:space="0"/>
            </w:tcBorders>
            <w:noWrap w:val="0"/>
            <w:vAlign w:val="center"/>
          </w:tcPr>
          <w:p w14:paraId="08213D4F">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sz w:val="32"/>
                <w:szCs w:val="32"/>
              </w:rPr>
            </w:pPr>
            <w:r>
              <w:rPr>
                <w:rFonts w:hint="default" w:ascii="Times New Roman" w:hAnsi="Times New Roman" w:eastAsia="方正仿宋_GBK" w:cs="Times New Roman"/>
                <w:color w:val="000000"/>
                <w:spacing w:val="-6"/>
                <w:kern w:val="0"/>
                <w:sz w:val="32"/>
                <w:szCs w:val="32"/>
                <w:lang w:bidi="ar"/>
              </w:rPr>
              <w:t>《业主</w:t>
            </w:r>
            <w:r>
              <w:rPr>
                <w:rFonts w:hint="eastAsia" w:ascii="Times New Roman" w:hAnsi="Times New Roman" w:eastAsia="方正仿宋_GBK" w:cs="Times New Roman"/>
                <w:color w:val="000000"/>
                <w:spacing w:val="-6"/>
                <w:kern w:val="0"/>
                <w:sz w:val="32"/>
                <w:szCs w:val="32"/>
                <w:lang w:eastAsia="zh-CN" w:bidi="ar"/>
              </w:rPr>
              <w:t>大</w:t>
            </w:r>
            <w:r>
              <w:rPr>
                <w:rFonts w:hint="default" w:ascii="Times New Roman" w:hAnsi="Times New Roman" w:eastAsia="方正仿宋_GBK" w:cs="Times New Roman"/>
                <w:color w:val="000000"/>
                <w:spacing w:val="-6"/>
                <w:kern w:val="0"/>
                <w:sz w:val="32"/>
                <w:szCs w:val="32"/>
                <w:lang w:bidi="ar"/>
              </w:rPr>
              <w:t>会和业主委员会指导规则》第五十四条第一款  召开业主委员会会议，应当告知相关的居民委员会，并听取居民委员会的建议。</w:t>
            </w:r>
          </w:p>
        </w:tc>
      </w:tr>
      <w:tr w14:paraId="33E74C90">
        <w:tblPrEx>
          <w:tblCellMar>
            <w:top w:w="0" w:type="dxa"/>
            <w:left w:w="108" w:type="dxa"/>
            <w:bottom w:w="0" w:type="dxa"/>
            <w:right w:w="108" w:type="dxa"/>
          </w:tblCellMar>
        </w:tblPrEx>
        <w:trPr>
          <w:trHeight w:val="285" w:hRule="atLeast"/>
        </w:trPr>
        <w:tc>
          <w:tcPr>
            <w:tcW w:w="687" w:type="dxa"/>
            <w:vMerge w:val="restart"/>
            <w:tcBorders>
              <w:top w:val="single" w:color="000000" w:sz="4" w:space="0"/>
              <w:left w:val="single" w:color="000000" w:sz="4" w:space="0"/>
              <w:bottom w:val="single" w:color="000000" w:sz="4" w:space="0"/>
              <w:right w:val="single" w:color="000000" w:sz="4" w:space="0"/>
            </w:tcBorders>
            <w:noWrap/>
            <w:vAlign w:val="center"/>
          </w:tcPr>
          <w:p w14:paraId="27159D10">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center"/>
              <w:textAlignment w:val="center"/>
              <w:rPr>
                <w:rFonts w:hint="default" w:ascii="Times New Roman" w:hAnsi="Times New Roman" w:eastAsia="方正仿宋_GBK" w:cs="Times New Roman"/>
                <w:b/>
                <w:bCs/>
                <w:color w:val="000000"/>
                <w:spacing w:val="-6"/>
                <w:sz w:val="32"/>
                <w:szCs w:val="32"/>
              </w:rPr>
            </w:pPr>
            <w:r>
              <w:rPr>
                <w:rFonts w:hint="eastAsia" w:ascii="方正楷体_GBK" w:hAnsi="方正楷体_GBK" w:eastAsia="方正楷体_GBK" w:cs="方正楷体_GBK"/>
                <w:b/>
                <w:bCs/>
                <w:color w:val="000000"/>
                <w:spacing w:val="-6"/>
                <w:kern w:val="0"/>
                <w:sz w:val="30"/>
                <w:szCs w:val="30"/>
                <w:lang w:eastAsia="zh-CN" w:bidi="ar"/>
              </w:rPr>
              <w:t>五</w:t>
            </w:r>
            <w:r>
              <w:rPr>
                <w:rFonts w:hint="default" w:ascii="方正楷体_GBK" w:hAnsi="方正楷体_GBK" w:eastAsia="方正楷体_GBK" w:cs="方正楷体_GBK"/>
                <w:b/>
                <w:bCs/>
                <w:color w:val="000000"/>
                <w:spacing w:val="-6"/>
                <w:kern w:val="0"/>
                <w:sz w:val="30"/>
                <w:szCs w:val="30"/>
                <w:lang w:eastAsia="zh-CN" w:bidi="ar"/>
              </w:rPr>
              <w:t>、办理备案</w:t>
            </w:r>
          </w:p>
        </w:tc>
        <w:tc>
          <w:tcPr>
            <w:tcW w:w="3975" w:type="dxa"/>
            <w:vMerge w:val="restart"/>
            <w:tcBorders>
              <w:top w:val="single" w:color="000000" w:sz="4" w:space="0"/>
              <w:left w:val="single" w:color="000000" w:sz="4" w:space="0"/>
              <w:bottom w:val="single" w:color="000000" w:sz="4" w:space="0"/>
              <w:right w:val="single" w:color="000000" w:sz="4" w:space="0"/>
            </w:tcBorders>
            <w:noWrap w:val="0"/>
            <w:vAlign w:val="center"/>
          </w:tcPr>
          <w:p w14:paraId="7A377F9A">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一）业主委员会应当自选举产生之日起30日内，将业主大会会议的决定、管理规约、业主大会议事规则以及业主委员会组成人员名单等材料报县区物业管理行政主管部门、街道（乡镇）备案，并书面告知社区（村）；</w:t>
            </w:r>
          </w:p>
          <w:p w14:paraId="0FB40A22">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sz w:val="32"/>
                <w:szCs w:val="32"/>
              </w:rPr>
            </w:pPr>
            <w:r>
              <w:rPr>
                <w:rFonts w:hint="default" w:ascii="Times New Roman" w:hAnsi="Times New Roman" w:eastAsia="方正仿宋_GBK" w:cs="Times New Roman"/>
                <w:color w:val="000000"/>
                <w:spacing w:val="-6"/>
                <w:kern w:val="0"/>
                <w:sz w:val="32"/>
                <w:szCs w:val="32"/>
                <w:lang w:bidi="ar"/>
              </w:rPr>
              <w:t>（二）业主委员会任期内，备案内容发生变更的，业主委员会应当自变更之日起30日内将变更内容书面报告备案部门。</w:t>
            </w:r>
          </w:p>
        </w:tc>
        <w:tc>
          <w:tcPr>
            <w:tcW w:w="10110" w:type="dxa"/>
            <w:tcBorders>
              <w:top w:val="single" w:color="000000" w:sz="4" w:space="0"/>
              <w:left w:val="single" w:color="000000" w:sz="4" w:space="0"/>
              <w:bottom w:val="single" w:color="000000" w:sz="4" w:space="0"/>
              <w:right w:val="single" w:color="000000" w:sz="4" w:space="0"/>
            </w:tcBorders>
            <w:noWrap w:val="0"/>
            <w:vAlign w:val="center"/>
          </w:tcPr>
          <w:p w14:paraId="56968532">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sz w:val="32"/>
                <w:szCs w:val="32"/>
              </w:rPr>
            </w:pPr>
            <w:r>
              <w:rPr>
                <w:rFonts w:hint="default" w:ascii="Times New Roman" w:hAnsi="Times New Roman" w:eastAsia="方正仿宋_GBK" w:cs="Times New Roman"/>
                <w:color w:val="000000"/>
                <w:spacing w:val="-6"/>
                <w:kern w:val="0"/>
                <w:sz w:val="32"/>
                <w:szCs w:val="32"/>
                <w:lang w:bidi="ar"/>
              </w:rPr>
              <w:t>《物业管理条例》第十六条第一款  业主委员会应当自选举产生之日起30日内，向物业所在地的区、县人民政府房地产行政主管部门和街道办事处、乡镇人民政府备案。</w:t>
            </w:r>
          </w:p>
        </w:tc>
      </w:tr>
      <w:tr w14:paraId="5F95795A">
        <w:tblPrEx>
          <w:tblCellMar>
            <w:top w:w="0" w:type="dxa"/>
            <w:left w:w="108" w:type="dxa"/>
            <w:bottom w:w="0" w:type="dxa"/>
            <w:right w:w="108" w:type="dxa"/>
          </w:tblCellMar>
        </w:tblPrEx>
        <w:trPr>
          <w:trHeight w:val="855" w:hRule="atLeast"/>
        </w:trPr>
        <w:tc>
          <w:tcPr>
            <w:tcW w:w="687" w:type="dxa"/>
            <w:vMerge w:val="continue"/>
            <w:tcBorders>
              <w:top w:val="single" w:color="000000" w:sz="4" w:space="0"/>
              <w:left w:val="single" w:color="000000" w:sz="4" w:space="0"/>
              <w:bottom w:val="single" w:color="000000" w:sz="4" w:space="0"/>
              <w:right w:val="single" w:color="000000" w:sz="4" w:space="0"/>
            </w:tcBorders>
            <w:noWrap/>
            <w:vAlign w:val="center"/>
          </w:tcPr>
          <w:p w14:paraId="190E76A6">
            <w:pPr>
              <w:keepNext w:val="0"/>
              <w:keepLines w:val="0"/>
              <w:pageBreakBefore w:val="0"/>
              <w:kinsoku/>
              <w:wordWrap/>
              <w:overflowPunct/>
              <w:topLinePunct w:val="0"/>
              <w:autoSpaceDE/>
              <w:autoSpaceDN/>
              <w:bidi w:val="0"/>
              <w:adjustRightInd/>
              <w:snapToGrid/>
              <w:spacing w:line="590" w:lineRule="exact"/>
              <w:ind w:left="0" w:leftChars="0" w:firstLine="0" w:firstLineChars="0"/>
              <w:jc w:val="center"/>
              <w:rPr>
                <w:rFonts w:hint="default" w:ascii="Times New Roman" w:hAnsi="Times New Roman" w:eastAsia="方正仿宋_GBK" w:cs="Times New Roman"/>
                <w:b/>
                <w:bCs/>
                <w:color w:val="000000"/>
                <w:spacing w:val="-6"/>
                <w:sz w:val="32"/>
                <w:szCs w:val="32"/>
              </w:rPr>
            </w:pPr>
          </w:p>
        </w:tc>
        <w:tc>
          <w:tcPr>
            <w:tcW w:w="3975" w:type="dxa"/>
            <w:vMerge w:val="continue"/>
            <w:tcBorders>
              <w:top w:val="single" w:color="000000" w:sz="4" w:space="0"/>
              <w:left w:val="single" w:color="000000" w:sz="4" w:space="0"/>
              <w:bottom w:val="single" w:color="000000" w:sz="4" w:space="0"/>
              <w:right w:val="single" w:color="000000" w:sz="4" w:space="0"/>
            </w:tcBorders>
            <w:noWrap w:val="0"/>
            <w:vAlign w:val="center"/>
          </w:tcPr>
          <w:p w14:paraId="166B71B0">
            <w:pPr>
              <w:keepNext w:val="0"/>
              <w:keepLines w:val="0"/>
              <w:pageBreakBefore w:val="0"/>
              <w:kinsoku/>
              <w:wordWrap/>
              <w:overflowPunct/>
              <w:topLinePunct w:val="0"/>
              <w:autoSpaceDE/>
              <w:autoSpaceDN/>
              <w:bidi w:val="0"/>
              <w:adjustRightInd/>
              <w:snapToGrid/>
              <w:spacing w:line="590" w:lineRule="exact"/>
              <w:ind w:left="0" w:leftChars="0" w:firstLine="0" w:firstLineChars="0"/>
              <w:jc w:val="left"/>
              <w:rPr>
                <w:rFonts w:hint="default" w:ascii="Times New Roman" w:hAnsi="Times New Roman" w:eastAsia="方正仿宋_GBK" w:cs="Times New Roman"/>
                <w:color w:val="000000"/>
                <w:spacing w:val="-6"/>
                <w:sz w:val="32"/>
                <w:szCs w:val="32"/>
              </w:rPr>
            </w:pPr>
          </w:p>
        </w:tc>
        <w:tc>
          <w:tcPr>
            <w:tcW w:w="10110" w:type="dxa"/>
            <w:tcBorders>
              <w:top w:val="single" w:color="000000" w:sz="4" w:space="0"/>
              <w:left w:val="single" w:color="000000" w:sz="4" w:space="0"/>
              <w:bottom w:val="single" w:color="000000" w:sz="4" w:space="0"/>
              <w:right w:val="single" w:color="000000" w:sz="4" w:space="0"/>
            </w:tcBorders>
            <w:noWrap w:val="0"/>
            <w:vAlign w:val="center"/>
          </w:tcPr>
          <w:p w14:paraId="096C0DC4">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《安徽省物业管理条例》第二十五条第三款  业主委员会应当自选举产生之日起三十日内，将业主大会会议的决定、管理规约、业主大会议事规则以及业主委员会组成人员名单等材料报县级人民政府物业管理行政主管部门、街道办事处或者乡镇人民政府备案，并书面告知相关居民委员会、村民委员会。</w:t>
            </w:r>
          </w:p>
          <w:p w14:paraId="61CA9D4F">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sz w:val="32"/>
                <w:szCs w:val="32"/>
              </w:rPr>
            </w:pPr>
            <w:r>
              <w:rPr>
                <w:rFonts w:hint="default" w:ascii="Times New Roman" w:hAnsi="Times New Roman" w:eastAsia="方正仿宋_GBK" w:cs="Times New Roman"/>
                <w:color w:val="000000"/>
                <w:spacing w:val="-6"/>
                <w:kern w:val="0"/>
                <w:sz w:val="32"/>
                <w:szCs w:val="32"/>
                <w:lang w:bidi="ar"/>
              </w:rPr>
              <w:t>《安徽省物业管理条例》第二十五条第五款  第三款规定的备案事项发生变更的，业主委员会应当在三十日内重新备案，并告知相关居民委员会、村民委员会。</w:t>
            </w:r>
          </w:p>
        </w:tc>
      </w:tr>
      <w:tr w14:paraId="0E55D585">
        <w:tblPrEx>
          <w:tblCellMar>
            <w:top w:w="0" w:type="dxa"/>
            <w:left w:w="108" w:type="dxa"/>
            <w:bottom w:w="0" w:type="dxa"/>
            <w:right w:w="108" w:type="dxa"/>
          </w:tblCellMar>
        </w:tblPrEx>
        <w:trPr>
          <w:trHeight w:val="1710" w:hRule="atLeast"/>
        </w:trPr>
        <w:tc>
          <w:tcPr>
            <w:tcW w:w="687" w:type="dxa"/>
            <w:vMerge w:val="continue"/>
            <w:tcBorders>
              <w:top w:val="single" w:color="000000" w:sz="4" w:space="0"/>
              <w:left w:val="single" w:color="000000" w:sz="4" w:space="0"/>
              <w:bottom w:val="single" w:color="000000" w:sz="4" w:space="0"/>
              <w:right w:val="single" w:color="000000" w:sz="4" w:space="0"/>
            </w:tcBorders>
            <w:noWrap/>
            <w:vAlign w:val="center"/>
          </w:tcPr>
          <w:p w14:paraId="573FB291">
            <w:pPr>
              <w:keepNext w:val="0"/>
              <w:keepLines w:val="0"/>
              <w:pageBreakBefore w:val="0"/>
              <w:kinsoku/>
              <w:wordWrap/>
              <w:overflowPunct/>
              <w:topLinePunct w:val="0"/>
              <w:autoSpaceDE/>
              <w:autoSpaceDN/>
              <w:bidi w:val="0"/>
              <w:adjustRightInd/>
              <w:snapToGrid/>
              <w:spacing w:line="590" w:lineRule="exact"/>
              <w:ind w:left="0" w:leftChars="0" w:firstLine="0" w:firstLineChars="0"/>
              <w:jc w:val="center"/>
              <w:rPr>
                <w:rFonts w:hint="default" w:ascii="Times New Roman" w:hAnsi="Times New Roman" w:eastAsia="方正仿宋_GBK" w:cs="Times New Roman"/>
                <w:b/>
                <w:bCs/>
                <w:color w:val="000000"/>
                <w:spacing w:val="-6"/>
                <w:sz w:val="32"/>
                <w:szCs w:val="32"/>
              </w:rPr>
            </w:pPr>
          </w:p>
        </w:tc>
        <w:tc>
          <w:tcPr>
            <w:tcW w:w="3975" w:type="dxa"/>
            <w:vMerge w:val="continue"/>
            <w:tcBorders>
              <w:top w:val="single" w:color="000000" w:sz="4" w:space="0"/>
              <w:left w:val="single" w:color="000000" w:sz="4" w:space="0"/>
              <w:bottom w:val="single" w:color="000000" w:sz="4" w:space="0"/>
              <w:right w:val="single" w:color="000000" w:sz="4" w:space="0"/>
            </w:tcBorders>
            <w:noWrap w:val="0"/>
            <w:vAlign w:val="center"/>
          </w:tcPr>
          <w:p w14:paraId="3DACF395">
            <w:pPr>
              <w:keepNext w:val="0"/>
              <w:keepLines w:val="0"/>
              <w:pageBreakBefore w:val="0"/>
              <w:kinsoku/>
              <w:wordWrap/>
              <w:overflowPunct/>
              <w:topLinePunct w:val="0"/>
              <w:autoSpaceDE/>
              <w:autoSpaceDN/>
              <w:bidi w:val="0"/>
              <w:adjustRightInd/>
              <w:snapToGrid/>
              <w:spacing w:line="590" w:lineRule="exact"/>
              <w:ind w:left="0" w:leftChars="0" w:firstLine="0" w:firstLineChars="0"/>
              <w:jc w:val="left"/>
              <w:rPr>
                <w:rFonts w:hint="default" w:ascii="Times New Roman" w:hAnsi="Times New Roman" w:eastAsia="方正仿宋_GBK" w:cs="Times New Roman"/>
                <w:color w:val="000000"/>
                <w:spacing w:val="-6"/>
                <w:sz w:val="32"/>
                <w:szCs w:val="32"/>
              </w:rPr>
            </w:pPr>
          </w:p>
        </w:tc>
        <w:tc>
          <w:tcPr>
            <w:tcW w:w="10110" w:type="dxa"/>
            <w:tcBorders>
              <w:top w:val="single" w:color="000000" w:sz="4" w:space="0"/>
              <w:left w:val="single" w:color="000000" w:sz="4" w:space="0"/>
              <w:bottom w:val="single" w:color="000000" w:sz="4" w:space="0"/>
              <w:right w:val="single" w:color="000000" w:sz="4" w:space="0"/>
            </w:tcBorders>
            <w:noWrap w:val="0"/>
            <w:vAlign w:val="center"/>
          </w:tcPr>
          <w:p w14:paraId="5BA6AEC6">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《业主</w:t>
            </w:r>
            <w:r>
              <w:rPr>
                <w:rFonts w:hint="eastAsia" w:ascii="Times New Roman" w:hAnsi="Times New Roman" w:eastAsia="方正仿宋_GBK" w:cs="Times New Roman"/>
                <w:color w:val="000000"/>
                <w:spacing w:val="-6"/>
                <w:kern w:val="0"/>
                <w:sz w:val="32"/>
                <w:szCs w:val="32"/>
                <w:lang w:eastAsia="zh-CN" w:bidi="ar"/>
              </w:rPr>
              <w:t>大</w:t>
            </w:r>
            <w:r>
              <w:rPr>
                <w:rFonts w:hint="default" w:ascii="Times New Roman" w:hAnsi="Times New Roman" w:eastAsia="方正仿宋_GBK" w:cs="Times New Roman"/>
                <w:color w:val="000000"/>
                <w:spacing w:val="-6"/>
                <w:kern w:val="0"/>
                <w:sz w:val="32"/>
                <w:szCs w:val="32"/>
                <w:lang w:bidi="ar"/>
              </w:rPr>
              <w:t>会和业主委员会指导规则》第三十三条  业主委员会应当自选举产生之日起30日内，持下列文件向物业所在地的区、县房地产行政主管部门和街道办事处、乡镇人民政府办理备案手续：</w:t>
            </w:r>
          </w:p>
          <w:p w14:paraId="6033C2DD">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（一）业主大会成立和业主委员会选举的情况；</w:t>
            </w:r>
          </w:p>
          <w:p w14:paraId="17772997">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（二）管理规约；</w:t>
            </w:r>
          </w:p>
          <w:p w14:paraId="4DE8EC2B">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（三）业主大会议事规则；</w:t>
            </w:r>
          </w:p>
          <w:p w14:paraId="71D70746">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sz w:val="32"/>
                <w:szCs w:val="32"/>
              </w:rPr>
            </w:pPr>
            <w:r>
              <w:rPr>
                <w:rFonts w:hint="default" w:ascii="Times New Roman" w:hAnsi="Times New Roman" w:eastAsia="方正仿宋_GBK" w:cs="Times New Roman"/>
                <w:color w:val="000000"/>
                <w:spacing w:val="-6"/>
                <w:kern w:val="0"/>
                <w:sz w:val="32"/>
                <w:szCs w:val="32"/>
                <w:lang w:bidi="ar"/>
              </w:rPr>
              <w:t>（四）业主大会决定的其他重大事项。</w:t>
            </w:r>
          </w:p>
        </w:tc>
      </w:tr>
      <w:tr w14:paraId="46E2C9FD">
        <w:tblPrEx>
          <w:tblCellMar>
            <w:top w:w="0" w:type="dxa"/>
            <w:left w:w="108" w:type="dxa"/>
            <w:bottom w:w="0" w:type="dxa"/>
            <w:right w:w="108" w:type="dxa"/>
          </w:tblCellMar>
        </w:tblPrEx>
        <w:trPr>
          <w:trHeight w:val="285" w:hRule="atLeast"/>
        </w:trPr>
        <w:tc>
          <w:tcPr>
            <w:tcW w:w="687" w:type="dxa"/>
            <w:vMerge w:val="continue"/>
            <w:tcBorders>
              <w:top w:val="single" w:color="000000" w:sz="4" w:space="0"/>
              <w:left w:val="single" w:color="000000" w:sz="4" w:space="0"/>
              <w:bottom w:val="single" w:color="000000" w:sz="4" w:space="0"/>
              <w:right w:val="single" w:color="000000" w:sz="4" w:space="0"/>
            </w:tcBorders>
            <w:noWrap/>
            <w:vAlign w:val="center"/>
          </w:tcPr>
          <w:p w14:paraId="1FE067B2">
            <w:pPr>
              <w:keepNext w:val="0"/>
              <w:keepLines w:val="0"/>
              <w:pageBreakBefore w:val="0"/>
              <w:kinsoku/>
              <w:wordWrap/>
              <w:overflowPunct/>
              <w:topLinePunct w:val="0"/>
              <w:autoSpaceDE/>
              <w:autoSpaceDN/>
              <w:bidi w:val="0"/>
              <w:adjustRightInd/>
              <w:snapToGrid/>
              <w:spacing w:line="590" w:lineRule="exact"/>
              <w:ind w:left="0" w:leftChars="0" w:firstLine="0" w:firstLineChars="0"/>
              <w:jc w:val="center"/>
              <w:rPr>
                <w:rFonts w:hint="default" w:ascii="Times New Roman" w:hAnsi="Times New Roman" w:eastAsia="方正仿宋_GBK" w:cs="Times New Roman"/>
                <w:b/>
                <w:bCs/>
                <w:color w:val="000000"/>
                <w:spacing w:val="-6"/>
                <w:sz w:val="32"/>
                <w:szCs w:val="32"/>
              </w:rPr>
            </w:pPr>
          </w:p>
        </w:tc>
        <w:tc>
          <w:tcPr>
            <w:tcW w:w="3975" w:type="dxa"/>
            <w:vMerge w:val="continue"/>
            <w:tcBorders>
              <w:top w:val="single" w:color="000000" w:sz="4" w:space="0"/>
              <w:left w:val="single" w:color="000000" w:sz="4" w:space="0"/>
              <w:bottom w:val="single" w:color="000000" w:sz="4" w:space="0"/>
              <w:right w:val="single" w:color="000000" w:sz="4" w:space="0"/>
            </w:tcBorders>
            <w:noWrap w:val="0"/>
            <w:vAlign w:val="center"/>
          </w:tcPr>
          <w:p w14:paraId="41F2FE26">
            <w:pPr>
              <w:keepNext w:val="0"/>
              <w:keepLines w:val="0"/>
              <w:pageBreakBefore w:val="0"/>
              <w:kinsoku/>
              <w:wordWrap/>
              <w:overflowPunct/>
              <w:topLinePunct w:val="0"/>
              <w:autoSpaceDE/>
              <w:autoSpaceDN/>
              <w:bidi w:val="0"/>
              <w:adjustRightInd/>
              <w:snapToGrid/>
              <w:spacing w:line="590" w:lineRule="exact"/>
              <w:ind w:left="0" w:leftChars="0" w:firstLine="0" w:firstLineChars="0"/>
              <w:jc w:val="left"/>
              <w:rPr>
                <w:rFonts w:hint="default" w:ascii="Times New Roman" w:hAnsi="Times New Roman" w:eastAsia="方正仿宋_GBK" w:cs="Times New Roman"/>
                <w:color w:val="000000"/>
                <w:spacing w:val="-6"/>
                <w:sz w:val="32"/>
                <w:szCs w:val="32"/>
              </w:rPr>
            </w:pPr>
          </w:p>
        </w:tc>
        <w:tc>
          <w:tcPr>
            <w:tcW w:w="10110" w:type="dxa"/>
            <w:tcBorders>
              <w:top w:val="single" w:color="000000" w:sz="4" w:space="0"/>
              <w:left w:val="single" w:color="000000" w:sz="4" w:space="0"/>
              <w:bottom w:val="single" w:color="000000" w:sz="4" w:space="0"/>
              <w:right w:val="single" w:color="000000" w:sz="4" w:space="0"/>
            </w:tcBorders>
            <w:noWrap w:val="0"/>
            <w:vAlign w:val="center"/>
          </w:tcPr>
          <w:p w14:paraId="566CB568">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sz w:val="32"/>
                <w:szCs w:val="32"/>
              </w:rPr>
            </w:pPr>
            <w:r>
              <w:rPr>
                <w:rFonts w:hint="default" w:ascii="Times New Roman" w:hAnsi="Times New Roman" w:eastAsia="方正仿宋_GBK" w:cs="Times New Roman"/>
                <w:color w:val="000000"/>
                <w:spacing w:val="-6"/>
                <w:kern w:val="0"/>
                <w:sz w:val="32"/>
                <w:szCs w:val="32"/>
                <w:lang w:bidi="ar"/>
              </w:rPr>
              <w:t>《业主</w:t>
            </w:r>
            <w:r>
              <w:rPr>
                <w:rFonts w:hint="eastAsia" w:ascii="Times New Roman" w:hAnsi="Times New Roman" w:eastAsia="方正仿宋_GBK" w:cs="Times New Roman"/>
                <w:color w:val="000000"/>
                <w:spacing w:val="-6"/>
                <w:kern w:val="0"/>
                <w:sz w:val="32"/>
                <w:szCs w:val="32"/>
                <w:lang w:eastAsia="zh-CN" w:bidi="ar"/>
              </w:rPr>
              <w:t>大</w:t>
            </w:r>
            <w:r>
              <w:rPr>
                <w:rFonts w:hint="default" w:ascii="Times New Roman" w:hAnsi="Times New Roman" w:eastAsia="方正仿宋_GBK" w:cs="Times New Roman"/>
                <w:color w:val="000000"/>
                <w:spacing w:val="-6"/>
                <w:kern w:val="0"/>
                <w:sz w:val="32"/>
                <w:szCs w:val="32"/>
                <w:lang w:bidi="ar"/>
              </w:rPr>
              <w:t>会和业主委员会指导规则》第三十四条第二款  业主委员会任期内，备案内容发生变更的，业主委员会应当自变更之日起30日内将变更内容书面报告备案部门。</w:t>
            </w:r>
          </w:p>
        </w:tc>
      </w:tr>
      <w:tr w14:paraId="448497F3">
        <w:tblPrEx>
          <w:tblCellMar>
            <w:top w:w="0" w:type="dxa"/>
            <w:left w:w="108" w:type="dxa"/>
            <w:bottom w:w="0" w:type="dxa"/>
            <w:right w:w="108" w:type="dxa"/>
          </w:tblCellMar>
        </w:tblPrEx>
        <w:trPr>
          <w:trHeight w:val="860" w:hRule="atLeast"/>
        </w:trPr>
        <w:tc>
          <w:tcPr>
            <w:tcW w:w="687" w:type="dxa"/>
            <w:vMerge w:val="restart"/>
            <w:tcBorders>
              <w:top w:val="single" w:color="000000" w:sz="4" w:space="0"/>
              <w:left w:val="single" w:color="000000" w:sz="4" w:space="0"/>
              <w:bottom w:val="single" w:color="000000" w:sz="4" w:space="0"/>
              <w:right w:val="single" w:color="000000" w:sz="4" w:space="0"/>
            </w:tcBorders>
            <w:noWrap/>
            <w:vAlign w:val="center"/>
          </w:tcPr>
          <w:p w14:paraId="1466CBEE">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center"/>
              <w:textAlignment w:val="center"/>
              <w:rPr>
                <w:rFonts w:hint="default" w:ascii="Times New Roman" w:hAnsi="Times New Roman" w:eastAsia="方正仿宋_GBK" w:cs="Times New Roman"/>
                <w:b/>
                <w:bCs/>
                <w:color w:val="000000"/>
                <w:spacing w:val="-6"/>
                <w:sz w:val="32"/>
                <w:szCs w:val="32"/>
              </w:rPr>
            </w:pPr>
            <w:r>
              <w:rPr>
                <w:rFonts w:hint="eastAsia" w:ascii="方正楷体_GBK" w:hAnsi="方正楷体_GBK" w:eastAsia="方正楷体_GBK" w:cs="方正楷体_GBK"/>
                <w:b/>
                <w:bCs/>
                <w:color w:val="000000"/>
                <w:spacing w:val="-6"/>
                <w:kern w:val="0"/>
                <w:sz w:val="30"/>
                <w:szCs w:val="30"/>
                <w:lang w:eastAsia="zh-CN" w:bidi="ar"/>
              </w:rPr>
              <w:t>六</w:t>
            </w:r>
            <w:r>
              <w:rPr>
                <w:rFonts w:hint="default" w:ascii="方正楷体_GBK" w:hAnsi="方正楷体_GBK" w:eastAsia="方正楷体_GBK" w:cs="方正楷体_GBK"/>
                <w:b/>
                <w:bCs/>
                <w:color w:val="000000"/>
                <w:spacing w:val="-6"/>
                <w:kern w:val="0"/>
                <w:sz w:val="30"/>
                <w:szCs w:val="30"/>
                <w:lang w:eastAsia="zh-CN" w:bidi="ar"/>
              </w:rPr>
              <w:t>、印章管理</w:t>
            </w:r>
          </w:p>
        </w:tc>
        <w:tc>
          <w:tcPr>
            <w:tcW w:w="3975" w:type="dxa"/>
            <w:vMerge w:val="restart"/>
            <w:tcBorders>
              <w:top w:val="single" w:color="000000" w:sz="4" w:space="0"/>
              <w:left w:val="single" w:color="000000" w:sz="4" w:space="0"/>
              <w:bottom w:val="single" w:color="000000" w:sz="4" w:space="0"/>
              <w:right w:val="single" w:color="000000" w:sz="4" w:space="0"/>
            </w:tcBorders>
            <w:noWrap w:val="0"/>
            <w:vAlign w:val="center"/>
          </w:tcPr>
          <w:p w14:paraId="14654471">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（一）业主委员会办理备案手续后，应当持街道（乡镇）备案证明向公安机关申请刻制业主大会印章和业主委员会印章；</w:t>
            </w:r>
          </w:p>
          <w:p w14:paraId="49B8D1D9">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（二）业主委员会应当建立印章管理规定，并指定专人保管印章；</w:t>
            </w:r>
          </w:p>
          <w:p w14:paraId="39E7DD8D">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sz w:val="32"/>
                <w:szCs w:val="32"/>
              </w:rPr>
            </w:pPr>
            <w:r>
              <w:rPr>
                <w:rFonts w:hint="default" w:ascii="Times New Roman" w:hAnsi="Times New Roman" w:eastAsia="方正仿宋_GBK" w:cs="Times New Roman"/>
                <w:color w:val="000000"/>
                <w:spacing w:val="-6"/>
                <w:kern w:val="0"/>
                <w:sz w:val="32"/>
                <w:szCs w:val="32"/>
                <w:lang w:bidi="ar"/>
              </w:rPr>
              <w:t>（三）使用业主大会印章，应当根据业主大会议事规则的规定或者业主大会会议的决定；使用业主委员会印章，应当根据业主委员会会议的决定。</w:t>
            </w:r>
          </w:p>
        </w:tc>
        <w:tc>
          <w:tcPr>
            <w:tcW w:w="10110" w:type="dxa"/>
            <w:tcBorders>
              <w:top w:val="single" w:color="000000" w:sz="4" w:space="0"/>
              <w:left w:val="single" w:color="000000" w:sz="4" w:space="0"/>
              <w:bottom w:val="single" w:color="000000" w:sz="4" w:space="0"/>
              <w:right w:val="single" w:color="000000" w:sz="4" w:space="0"/>
            </w:tcBorders>
            <w:noWrap w:val="0"/>
            <w:vAlign w:val="center"/>
          </w:tcPr>
          <w:p w14:paraId="34193BDA">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sz w:val="32"/>
                <w:szCs w:val="32"/>
              </w:rPr>
            </w:pPr>
            <w:r>
              <w:rPr>
                <w:rFonts w:hint="default" w:ascii="Times New Roman" w:hAnsi="Times New Roman" w:eastAsia="方正仿宋_GBK" w:cs="Times New Roman"/>
                <w:color w:val="000000"/>
                <w:spacing w:val="-6"/>
                <w:kern w:val="0"/>
                <w:sz w:val="32"/>
                <w:szCs w:val="32"/>
                <w:lang w:bidi="ar"/>
              </w:rPr>
              <w:t>《安徽省物业管理条例》第二十五条第四款  业主委员会办理备案手续后，持街道办事处或者乡镇人民政府备案证明向公安机关申请刻制业主大会印章和业主委员会印章。</w:t>
            </w:r>
          </w:p>
        </w:tc>
      </w:tr>
      <w:tr w14:paraId="28657E7F">
        <w:tblPrEx>
          <w:tblCellMar>
            <w:top w:w="0" w:type="dxa"/>
            <w:left w:w="108" w:type="dxa"/>
            <w:bottom w:w="0" w:type="dxa"/>
            <w:right w:w="108" w:type="dxa"/>
          </w:tblCellMar>
        </w:tblPrEx>
        <w:trPr>
          <w:trHeight w:val="860" w:hRule="atLeast"/>
        </w:trPr>
        <w:tc>
          <w:tcPr>
            <w:tcW w:w="687" w:type="dxa"/>
            <w:vMerge w:val="continue"/>
            <w:tcBorders>
              <w:top w:val="single" w:color="000000" w:sz="4" w:space="0"/>
              <w:left w:val="single" w:color="000000" w:sz="4" w:space="0"/>
              <w:bottom w:val="single" w:color="000000" w:sz="4" w:space="0"/>
              <w:right w:val="single" w:color="000000" w:sz="4" w:space="0"/>
            </w:tcBorders>
            <w:noWrap/>
            <w:vAlign w:val="center"/>
          </w:tcPr>
          <w:p w14:paraId="7190E812">
            <w:pPr>
              <w:keepNext w:val="0"/>
              <w:keepLines w:val="0"/>
              <w:pageBreakBefore w:val="0"/>
              <w:kinsoku/>
              <w:wordWrap/>
              <w:overflowPunct/>
              <w:topLinePunct w:val="0"/>
              <w:autoSpaceDE/>
              <w:autoSpaceDN/>
              <w:bidi w:val="0"/>
              <w:adjustRightInd/>
              <w:snapToGrid/>
              <w:spacing w:line="590" w:lineRule="exact"/>
              <w:ind w:left="0" w:leftChars="0" w:firstLine="0" w:firstLineChars="0"/>
              <w:jc w:val="center"/>
              <w:rPr>
                <w:rFonts w:hint="default" w:ascii="Times New Roman" w:hAnsi="Times New Roman" w:eastAsia="方正仿宋_GBK" w:cs="Times New Roman"/>
                <w:b/>
                <w:bCs/>
                <w:color w:val="000000"/>
                <w:spacing w:val="-6"/>
                <w:sz w:val="32"/>
                <w:szCs w:val="32"/>
              </w:rPr>
            </w:pPr>
          </w:p>
        </w:tc>
        <w:tc>
          <w:tcPr>
            <w:tcW w:w="3975" w:type="dxa"/>
            <w:vMerge w:val="continue"/>
            <w:tcBorders>
              <w:top w:val="single" w:color="000000" w:sz="4" w:space="0"/>
              <w:left w:val="single" w:color="000000" w:sz="4" w:space="0"/>
              <w:bottom w:val="single" w:color="000000" w:sz="4" w:space="0"/>
              <w:right w:val="single" w:color="000000" w:sz="4" w:space="0"/>
            </w:tcBorders>
            <w:noWrap w:val="0"/>
            <w:vAlign w:val="center"/>
          </w:tcPr>
          <w:p w14:paraId="01864248">
            <w:pPr>
              <w:keepNext w:val="0"/>
              <w:keepLines w:val="0"/>
              <w:pageBreakBefore w:val="0"/>
              <w:kinsoku/>
              <w:wordWrap/>
              <w:overflowPunct/>
              <w:topLinePunct w:val="0"/>
              <w:autoSpaceDE/>
              <w:autoSpaceDN/>
              <w:bidi w:val="0"/>
              <w:adjustRightInd/>
              <w:snapToGrid/>
              <w:spacing w:line="590" w:lineRule="exact"/>
              <w:ind w:left="0" w:leftChars="0" w:firstLine="0" w:firstLineChars="0"/>
              <w:jc w:val="left"/>
              <w:rPr>
                <w:rFonts w:hint="default" w:ascii="Times New Roman" w:hAnsi="Times New Roman" w:eastAsia="方正仿宋_GBK" w:cs="Times New Roman"/>
                <w:color w:val="000000"/>
                <w:spacing w:val="-6"/>
                <w:sz w:val="32"/>
                <w:szCs w:val="32"/>
              </w:rPr>
            </w:pPr>
          </w:p>
        </w:tc>
        <w:tc>
          <w:tcPr>
            <w:tcW w:w="10110" w:type="dxa"/>
            <w:tcBorders>
              <w:top w:val="single" w:color="000000" w:sz="4" w:space="0"/>
              <w:left w:val="single" w:color="000000" w:sz="4" w:space="0"/>
              <w:bottom w:val="single" w:color="000000" w:sz="4" w:space="0"/>
              <w:right w:val="single" w:color="000000" w:sz="4" w:space="0"/>
            </w:tcBorders>
            <w:noWrap w:val="0"/>
            <w:vAlign w:val="center"/>
          </w:tcPr>
          <w:p w14:paraId="186C56D3">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sz w:val="32"/>
                <w:szCs w:val="32"/>
              </w:rPr>
            </w:pPr>
            <w:r>
              <w:rPr>
                <w:rFonts w:hint="default" w:ascii="Times New Roman" w:hAnsi="Times New Roman" w:eastAsia="方正仿宋_GBK" w:cs="Times New Roman"/>
                <w:color w:val="000000"/>
                <w:spacing w:val="-6"/>
                <w:kern w:val="0"/>
                <w:sz w:val="32"/>
                <w:szCs w:val="32"/>
                <w:lang w:bidi="ar"/>
              </w:rPr>
              <w:t>《六安市物业管理条例》第十六条  业主委员会经业主大会选举产生，并按照规定办理备案手续后，持街道办事处、乡镇人民政府备案证明向公安机关申请刻制业主大会印章和业主委员会印章，开设基本账户。业主委员会应当建立印章管理规定，并指定专人保管印章。</w:t>
            </w:r>
          </w:p>
        </w:tc>
      </w:tr>
      <w:tr w14:paraId="7098B97F">
        <w:tblPrEx>
          <w:tblCellMar>
            <w:top w:w="0" w:type="dxa"/>
            <w:left w:w="108" w:type="dxa"/>
            <w:bottom w:w="0" w:type="dxa"/>
            <w:right w:w="108" w:type="dxa"/>
          </w:tblCellMar>
        </w:tblPrEx>
        <w:trPr>
          <w:trHeight w:val="860" w:hRule="atLeast"/>
        </w:trPr>
        <w:tc>
          <w:tcPr>
            <w:tcW w:w="687" w:type="dxa"/>
            <w:vMerge w:val="continue"/>
            <w:tcBorders>
              <w:top w:val="single" w:color="000000" w:sz="4" w:space="0"/>
              <w:left w:val="single" w:color="000000" w:sz="4" w:space="0"/>
              <w:bottom w:val="single" w:color="000000" w:sz="4" w:space="0"/>
              <w:right w:val="single" w:color="000000" w:sz="4" w:space="0"/>
            </w:tcBorders>
            <w:noWrap/>
            <w:vAlign w:val="center"/>
          </w:tcPr>
          <w:p w14:paraId="4F20B755">
            <w:pPr>
              <w:keepNext w:val="0"/>
              <w:keepLines w:val="0"/>
              <w:pageBreakBefore w:val="0"/>
              <w:kinsoku/>
              <w:wordWrap/>
              <w:overflowPunct/>
              <w:topLinePunct w:val="0"/>
              <w:autoSpaceDE/>
              <w:autoSpaceDN/>
              <w:bidi w:val="0"/>
              <w:adjustRightInd/>
              <w:snapToGrid/>
              <w:spacing w:line="590" w:lineRule="exact"/>
              <w:ind w:left="0" w:leftChars="0" w:firstLine="0" w:firstLineChars="0"/>
              <w:jc w:val="center"/>
              <w:rPr>
                <w:rFonts w:hint="default" w:ascii="Times New Roman" w:hAnsi="Times New Roman" w:eastAsia="方正仿宋_GBK" w:cs="Times New Roman"/>
                <w:b/>
                <w:bCs/>
                <w:color w:val="000000"/>
                <w:spacing w:val="-6"/>
                <w:sz w:val="32"/>
                <w:szCs w:val="32"/>
              </w:rPr>
            </w:pPr>
          </w:p>
        </w:tc>
        <w:tc>
          <w:tcPr>
            <w:tcW w:w="3975" w:type="dxa"/>
            <w:vMerge w:val="continue"/>
            <w:tcBorders>
              <w:top w:val="single" w:color="000000" w:sz="4" w:space="0"/>
              <w:left w:val="single" w:color="000000" w:sz="4" w:space="0"/>
              <w:bottom w:val="single" w:color="000000" w:sz="4" w:space="0"/>
              <w:right w:val="single" w:color="000000" w:sz="4" w:space="0"/>
            </w:tcBorders>
            <w:noWrap w:val="0"/>
            <w:vAlign w:val="center"/>
          </w:tcPr>
          <w:p w14:paraId="4F21C2F9">
            <w:pPr>
              <w:keepNext w:val="0"/>
              <w:keepLines w:val="0"/>
              <w:pageBreakBefore w:val="0"/>
              <w:kinsoku/>
              <w:wordWrap/>
              <w:overflowPunct/>
              <w:topLinePunct w:val="0"/>
              <w:autoSpaceDE/>
              <w:autoSpaceDN/>
              <w:bidi w:val="0"/>
              <w:adjustRightInd/>
              <w:snapToGrid/>
              <w:spacing w:line="590" w:lineRule="exact"/>
              <w:ind w:left="0" w:leftChars="0" w:firstLine="0" w:firstLineChars="0"/>
              <w:jc w:val="left"/>
              <w:rPr>
                <w:rFonts w:hint="default" w:ascii="Times New Roman" w:hAnsi="Times New Roman" w:eastAsia="方正仿宋_GBK" w:cs="Times New Roman"/>
                <w:color w:val="000000"/>
                <w:spacing w:val="-6"/>
                <w:sz w:val="32"/>
                <w:szCs w:val="32"/>
              </w:rPr>
            </w:pPr>
          </w:p>
        </w:tc>
        <w:tc>
          <w:tcPr>
            <w:tcW w:w="10110" w:type="dxa"/>
            <w:tcBorders>
              <w:top w:val="single" w:color="000000" w:sz="4" w:space="0"/>
              <w:left w:val="single" w:color="000000" w:sz="4" w:space="0"/>
              <w:bottom w:val="single" w:color="000000" w:sz="4" w:space="0"/>
              <w:right w:val="single" w:color="000000" w:sz="4" w:space="0"/>
            </w:tcBorders>
            <w:noWrap w:val="0"/>
            <w:vAlign w:val="center"/>
          </w:tcPr>
          <w:p w14:paraId="12266CA8">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sz w:val="32"/>
                <w:szCs w:val="32"/>
              </w:rPr>
            </w:pPr>
            <w:r>
              <w:rPr>
                <w:rFonts w:hint="default" w:ascii="Times New Roman" w:hAnsi="Times New Roman" w:eastAsia="方正仿宋_GBK" w:cs="Times New Roman"/>
                <w:color w:val="000000"/>
                <w:spacing w:val="-6"/>
                <w:kern w:val="0"/>
                <w:sz w:val="32"/>
                <w:szCs w:val="32"/>
                <w:lang w:bidi="ar"/>
              </w:rPr>
              <w:t>《业主</w:t>
            </w:r>
            <w:r>
              <w:rPr>
                <w:rFonts w:hint="eastAsia" w:ascii="Times New Roman" w:hAnsi="Times New Roman" w:eastAsia="方正仿宋_GBK" w:cs="Times New Roman"/>
                <w:color w:val="000000"/>
                <w:spacing w:val="-6"/>
                <w:kern w:val="0"/>
                <w:sz w:val="32"/>
                <w:szCs w:val="32"/>
                <w:lang w:eastAsia="zh-CN" w:bidi="ar"/>
              </w:rPr>
              <w:t>大</w:t>
            </w:r>
            <w:r>
              <w:rPr>
                <w:rFonts w:hint="default" w:ascii="Times New Roman" w:hAnsi="Times New Roman" w:eastAsia="方正仿宋_GBK" w:cs="Times New Roman"/>
                <w:color w:val="000000"/>
                <w:spacing w:val="-6"/>
                <w:kern w:val="0"/>
                <w:sz w:val="32"/>
                <w:szCs w:val="32"/>
                <w:lang w:bidi="ar"/>
              </w:rPr>
              <w:t>会和业主委员会指导规则》第三十四条第一款  业主委员会办理备案手续后，可持备案证明向公安机关申请刻制业主大会印章和业主委员会印章。</w:t>
            </w:r>
          </w:p>
        </w:tc>
      </w:tr>
      <w:tr w14:paraId="75EA4E4F">
        <w:tblPrEx>
          <w:tblCellMar>
            <w:top w:w="0" w:type="dxa"/>
            <w:left w:w="108" w:type="dxa"/>
            <w:bottom w:w="0" w:type="dxa"/>
            <w:right w:w="108" w:type="dxa"/>
          </w:tblCellMar>
        </w:tblPrEx>
        <w:trPr>
          <w:trHeight w:val="860" w:hRule="atLeast"/>
        </w:trPr>
        <w:tc>
          <w:tcPr>
            <w:tcW w:w="687" w:type="dxa"/>
            <w:vMerge w:val="continue"/>
            <w:tcBorders>
              <w:top w:val="single" w:color="000000" w:sz="4" w:space="0"/>
              <w:left w:val="single" w:color="000000" w:sz="4" w:space="0"/>
              <w:bottom w:val="single" w:color="000000" w:sz="4" w:space="0"/>
              <w:right w:val="single" w:color="000000" w:sz="4" w:space="0"/>
            </w:tcBorders>
            <w:noWrap/>
            <w:vAlign w:val="center"/>
          </w:tcPr>
          <w:p w14:paraId="3D35A352">
            <w:pPr>
              <w:keepNext w:val="0"/>
              <w:keepLines w:val="0"/>
              <w:pageBreakBefore w:val="0"/>
              <w:kinsoku/>
              <w:wordWrap/>
              <w:overflowPunct/>
              <w:topLinePunct w:val="0"/>
              <w:autoSpaceDE/>
              <w:autoSpaceDN/>
              <w:bidi w:val="0"/>
              <w:adjustRightInd/>
              <w:snapToGrid/>
              <w:spacing w:line="590" w:lineRule="exact"/>
              <w:ind w:left="0" w:leftChars="0" w:firstLine="0" w:firstLineChars="0"/>
              <w:jc w:val="center"/>
              <w:rPr>
                <w:rFonts w:hint="default" w:ascii="Times New Roman" w:hAnsi="Times New Roman" w:eastAsia="方正仿宋_GBK" w:cs="Times New Roman"/>
                <w:b/>
                <w:bCs/>
                <w:color w:val="000000"/>
                <w:spacing w:val="-6"/>
                <w:sz w:val="32"/>
                <w:szCs w:val="32"/>
              </w:rPr>
            </w:pPr>
          </w:p>
        </w:tc>
        <w:tc>
          <w:tcPr>
            <w:tcW w:w="3975" w:type="dxa"/>
            <w:vMerge w:val="continue"/>
            <w:tcBorders>
              <w:top w:val="single" w:color="000000" w:sz="4" w:space="0"/>
              <w:left w:val="single" w:color="000000" w:sz="4" w:space="0"/>
              <w:bottom w:val="single" w:color="000000" w:sz="4" w:space="0"/>
              <w:right w:val="single" w:color="000000" w:sz="4" w:space="0"/>
            </w:tcBorders>
            <w:noWrap w:val="0"/>
            <w:vAlign w:val="center"/>
          </w:tcPr>
          <w:p w14:paraId="7D88C3CE">
            <w:pPr>
              <w:keepNext w:val="0"/>
              <w:keepLines w:val="0"/>
              <w:pageBreakBefore w:val="0"/>
              <w:kinsoku/>
              <w:wordWrap/>
              <w:overflowPunct/>
              <w:topLinePunct w:val="0"/>
              <w:autoSpaceDE/>
              <w:autoSpaceDN/>
              <w:bidi w:val="0"/>
              <w:adjustRightInd/>
              <w:snapToGrid/>
              <w:spacing w:line="590" w:lineRule="exact"/>
              <w:ind w:left="0" w:leftChars="0" w:firstLine="0" w:firstLineChars="0"/>
              <w:jc w:val="left"/>
              <w:rPr>
                <w:rFonts w:hint="default" w:ascii="Times New Roman" w:hAnsi="Times New Roman" w:eastAsia="方正仿宋_GBK" w:cs="Times New Roman"/>
                <w:color w:val="000000"/>
                <w:spacing w:val="-6"/>
                <w:sz w:val="32"/>
                <w:szCs w:val="32"/>
              </w:rPr>
            </w:pPr>
          </w:p>
        </w:tc>
        <w:tc>
          <w:tcPr>
            <w:tcW w:w="10110" w:type="dxa"/>
            <w:tcBorders>
              <w:top w:val="single" w:color="000000" w:sz="4" w:space="0"/>
              <w:left w:val="single" w:color="000000" w:sz="4" w:space="0"/>
              <w:bottom w:val="single" w:color="000000" w:sz="4" w:space="0"/>
              <w:right w:val="single" w:color="000000" w:sz="4" w:space="0"/>
            </w:tcBorders>
            <w:noWrap w:val="0"/>
            <w:vAlign w:val="center"/>
          </w:tcPr>
          <w:p w14:paraId="2F1F3697">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《业主⼤会和业主委员会指导规则》第四十一条  业主委员会应当建立印章管理规定，并指定专人保管印章。</w:t>
            </w:r>
          </w:p>
          <w:p w14:paraId="35F5D129">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sz w:val="32"/>
                <w:szCs w:val="32"/>
              </w:rPr>
            </w:pPr>
            <w:r>
              <w:rPr>
                <w:rFonts w:hint="default" w:ascii="Times New Roman" w:hAnsi="Times New Roman" w:eastAsia="方正仿宋_GBK" w:cs="Times New Roman"/>
                <w:color w:val="000000"/>
                <w:spacing w:val="-6"/>
                <w:kern w:val="0"/>
                <w:sz w:val="32"/>
                <w:szCs w:val="32"/>
                <w:lang w:bidi="ar"/>
              </w:rPr>
              <w:t>使用业主大会印章，应当根据业主大会议事规则的规定或者业主大会会议的决定；使用业主委员会印章，应当根据业主委员会会议的决定。</w:t>
            </w:r>
          </w:p>
        </w:tc>
      </w:tr>
      <w:tr w14:paraId="5035E6DA">
        <w:tblPrEx>
          <w:tblCellMar>
            <w:top w:w="0" w:type="dxa"/>
            <w:left w:w="108" w:type="dxa"/>
            <w:bottom w:w="0" w:type="dxa"/>
            <w:right w:w="108" w:type="dxa"/>
          </w:tblCellMar>
        </w:tblPrEx>
        <w:trPr>
          <w:trHeight w:val="1000" w:hRule="atLeast"/>
        </w:trPr>
        <w:tc>
          <w:tcPr>
            <w:tcW w:w="687" w:type="dxa"/>
            <w:vMerge w:val="restart"/>
            <w:tcBorders>
              <w:top w:val="single" w:color="000000" w:sz="4" w:space="0"/>
              <w:left w:val="single" w:color="000000" w:sz="4" w:space="0"/>
              <w:bottom w:val="single" w:color="000000" w:sz="4" w:space="0"/>
              <w:right w:val="single" w:color="000000" w:sz="4" w:space="0"/>
            </w:tcBorders>
            <w:noWrap/>
            <w:vAlign w:val="center"/>
          </w:tcPr>
          <w:p w14:paraId="0B020795">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center"/>
              <w:textAlignment w:val="center"/>
              <w:rPr>
                <w:rFonts w:hint="default" w:ascii="Times New Roman" w:hAnsi="Times New Roman" w:eastAsia="方正仿宋_GBK" w:cs="Times New Roman"/>
                <w:b/>
                <w:bCs/>
                <w:color w:val="000000"/>
                <w:spacing w:val="-6"/>
                <w:sz w:val="32"/>
                <w:szCs w:val="32"/>
              </w:rPr>
            </w:pPr>
            <w:r>
              <w:rPr>
                <w:rFonts w:hint="eastAsia" w:ascii="方正楷体_GBK" w:hAnsi="方正楷体_GBK" w:eastAsia="方正楷体_GBK" w:cs="方正楷体_GBK"/>
                <w:b/>
                <w:bCs/>
                <w:color w:val="000000"/>
                <w:spacing w:val="-6"/>
                <w:kern w:val="0"/>
                <w:sz w:val="30"/>
                <w:szCs w:val="30"/>
                <w:lang w:eastAsia="zh-CN" w:bidi="ar"/>
              </w:rPr>
              <w:t>七</w:t>
            </w:r>
            <w:r>
              <w:rPr>
                <w:rFonts w:hint="default" w:ascii="方正楷体_GBK" w:hAnsi="方正楷体_GBK" w:eastAsia="方正楷体_GBK" w:cs="方正楷体_GBK"/>
                <w:b/>
                <w:bCs/>
                <w:color w:val="000000"/>
                <w:spacing w:val="-6"/>
                <w:kern w:val="0"/>
                <w:sz w:val="30"/>
                <w:szCs w:val="30"/>
                <w:lang w:eastAsia="zh-CN" w:bidi="ar"/>
              </w:rPr>
              <w:t>、财务管理</w:t>
            </w:r>
          </w:p>
        </w:tc>
        <w:tc>
          <w:tcPr>
            <w:tcW w:w="3975" w:type="dxa"/>
            <w:vMerge w:val="restart"/>
            <w:tcBorders>
              <w:top w:val="single" w:color="000000" w:sz="4" w:space="0"/>
              <w:left w:val="single" w:color="000000" w:sz="4" w:space="0"/>
              <w:bottom w:val="single" w:color="000000" w:sz="4" w:space="0"/>
              <w:right w:val="single" w:color="000000" w:sz="4" w:space="0"/>
            </w:tcBorders>
            <w:noWrap w:val="0"/>
            <w:vAlign w:val="center"/>
          </w:tcPr>
          <w:p w14:paraId="3E03DFBB">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（一）业主委员会办理备案和刻制印章后，应当开设基本账户；</w:t>
            </w:r>
          </w:p>
          <w:p w14:paraId="4B8758F3">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（二）业主委员会应当对专项维修资金、物业共用部位和共用设施设备经营收益、业主大会和业主委员会工作经费按照财务要求建账并及时入账，并对原始凭证及形成的会计资料妥善保管，不得损毁；</w:t>
            </w:r>
          </w:p>
          <w:p w14:paraId="0D107EB6">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sz w:val="32"/>
                <w:szCs w:val="32"/>
              </w:rPr>
            </w:pPr>
            <w:r>
              <w:rPr>
                <w:rFonts w:hint="default" w:ascii="Times New Roman" w:hAnsi="Times New Roman" w:eastAsia="方正仿宋_GBK" w:cs="Times New Roman"/>
                <w:color w:val="000000"/>
                <w:spacing w:val="-6"/>
                <w:kern w:val="0"/>
                <w:sz w:val="32"/>
                <w:szCs w:val="32"/>
                <w:lang w:bidi="ar"/>
              </w:rPr>
              <w:t>（三）业主委员会应当于每年3月底前以书面形式在物业管理区域内显著位置公布上一年业主大会、业主委员会经费收支情况，接受业主监督。经持有20%以上投票权数的业主提议，业主委员会应当对经费收支情况进行审计。</w:t>
            </w:r>
          </w:p>
        </w:tc>
        <w:tc>
          <w:tcPr>
            <w:tcW w:w="10110" w:type="dxa"/>
            <w:tcBorders>
              <w:top w:val="single" w:color="000000" w:sz="4" w:space="0"/>
              <w:left w:val="single" w:color="000000" w:sz="4" w:space="0"/>
              <w:bottom w:val="single" w:color="000000" w:sz="4" w:space="0"/>
              <w:right w:val="single" w:color="000000" w:sz="4" w:space="0"/>
            </w:tcBorders>
            <w:noWrap w:val="0"/>
            <w:vAlign w:val="center"/>
          </w:tcPr>
          <w:p w14:paraId="22D4F313">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sz w:val="32"/>
                <w:szCs w:val="32"/>
              </w:rPr>
            </w:pPr>
            <w:r>
              <w:rPr>
                <w:rFonts w:hint="default" w:ascii="Times New Roman" w:hAnsi="Times New Roman" w:eastAsia="方正仿宋_GBK" w:cs="Times New Roman"/>
                <w:color w:val="000000"/>
                <w:spacing w:val="-6"/>
                <w:kern w:val="0"/>
                <w:sz w:val="32"/>
                <w:szCs w:val="32"/>
                <w:lang w:bidi="ar"/>
              </w:rPr>
              <w:t>《安徽省物业管理条例》第二十三条  业主大会应当建立规范的财务管理制度。业主委员会应当对专项维修资金、物业共用部位和共用设施设备经营收益、业主大会和业主委员会工作经费按照财务要求建账并及时入账，并对原始凭证及形成的会计资料妥善保管，不得损毁。</w:t>
            </w:r>
          </w:p>
        </w:tc>
      </w:tr>
      <w:tr w14:paraId="41C53C81">
        <w:tblPrEx>
          <w:tblCellMar>
            <w:top w:w="0" w:type="dxa"/>
            <w:left w:w="108" w:type="dxa"/>
            <w:bottom w:w="0" w:type="dxa"/>
            <w:right w:w="108" w:type="dxa"/>
          </w:tblCellMar>
        </w:tblPrEx>
        <w:trPr>
          <w:trHeight w:val="1000" w:hRule="atLeast"/>
        </w:trPr>
        <w:tc>
          <w:tcPr>
            <w:tcW w:w="687" w:type="dxa"/>
            <w:vMerge w:val="continue"/>
            <w:tcBorders>
              <w:top w:val="single" w:color="000000" w:sz="4" w:space="0"/>
              <w:left w:val="single" w:color="000000" w:sz="4" w:space="0"/>
              <w:bottom w:val="single" w:color="000000" w:sz="4" w:space="0"/>
              <w:right w:val="single" w:color="000000" w:sz="4" w:space="0"/>
            </w:tcBorders>
            <w:noWrap/>
            <w:vAlign w:val="center"/>
          </w:tcPr>
          <w:p w14:paraId="41E370F5">
            <w:pPr>
              <w:keepNext w:val="0"/>
              <w:keepLines w:val="0"/>
              <w:pageBreakBefore w:val="0"/>
              <w:kinsoku/>
              <w:wordWrap/>
              <w:overflowPunct/>
              <w:topLinePunct w:val="0"/>
              <w:autoSpaceDE/>
              <w:autoSpaceDN/>
              <w:bidi w:val="0"/>
              <w:adjustRightInd/>
              <w:snapToGrid/>
              <w:spacing w:line="590" w:lineRule="exact"/>
              <w:ind w:left="0" w:leftChars="0" w:firstLine="0" w:firstLineChars="0"/>
              <w:jc w:val="center"/>
              <w:rPr>
                <w:rFonts w:hint="default" w:ascii="Times New Roman" w:hAnsi="Times New Roman" w:eastAsia="方正仿宋_GBK" w:cs="Times New Roman"/>
                <w:b/>
                <w:bCs/>
                <w:color w:val="000000"/>
                <w:spacing w:val="-6"/>
                <w:sz w:val="32"/>
                <w:szCs w:val="32"/>
              </w:rPr>
            </w:pPr>
          </w:p>
        </w:tc>
        <w:tc>
          <w:tcPr>
            <w:tcW w:w="3975" w:type="dxa"/>
            <w:vMerge w:val="continue"/>
            <w:tcBorders>
              <w:top w:val="single" w:color="000000" w:sz="4" w:space="0"/>
              <w:left w:val="single" w:color="000000" w:sz="4" w:space="0"/>
              <w:bottom w:val="single" w:color="000000" w:sz="4" w:space="0"/>
              <w:right w:val="single" w:color="000000" w:sz="4" w:space="0"/>
            </w:tcBorders>
            <w:noWrap w:val="0"/>
            <w:vAlign w:val="center"/>
          </w:tcPr>
          <w:p w14:paraId="0D08FB1A">
            <w:pPr>
              <w:keepNext w:val="0"/>
              <w:keepLines w:val="0"/>
              <w:pageBreakBefore w:val="0"/>
              <w:kinsoku/>
              <w:wordWrap/>
              <w:overflowPunct/>
              <w:topLinePunct w:val="0"/>
              <w:autoSpaceDE/>
              <w:autoSpaceDN/>
              <w:bidi w:val="0"/>
              <w:adjustRightInd/>
              <w:snapToGrid/>
              <w:spacing w:line="590" w:lineRule="exact"/>
              <w:ind w:left="0" w:leftChars="0" w:firstLine="0" w:firstLineChars="0"/>
              <w:jc w:val="left"/>
              <w:rPr>
                <w:rFonts w:hint="default" w:ascii="Times New Roman" w:hAnsi="Times New Roman" w:eastAsia="方正仿宋_GBK" w:cs="Times New Roman"/>
                <w:color w:val="000000"/>
                <w:spacing w:val="-6"/>
                <w:sz w:val="32"/>
                <w:szCs w:val="32"/>
              </w:rPr>
            </w:pPr>
          </w:p>
        </w:tc>
        <w:tc>
          <w:tcPr>
            <w:tcW w:w="10110" w:type="dxa"/>
            <w:tcBorders>
              <w:top w:val="single" w:color="000000" w:sz="4" w:space="0"/>
              <w:left w:val="single" w:color="000000" w:sz="4" w:space="0"/>
              <w:bottom w:val="single" w:color="000000" w:sz="4" w:space="0"/>
              <w:right w:val="single" w:color="000000" w:sz="4" w:space="0"/>
            </w:tcBorders>
            <w:noWrap w:val="0"/>
            <w:vAlign w:val="center"/>
          </w:tcPr>
          <w:p w14:paraId="6437EC4A">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sz w:val="32"/>
                <w:szCs w:val="32"/>
              </w:rPr>
            </w:pPr>
            <w:r>
              <w:rPr>
                <w:rFonts w:hint="default" w:ascii="Times New Roman" w:hAnsi="Times New Roman" w:eastAsia="方正仿宋_GBK" w:cs="Times New Roman"/>
                <w:color w:val="000000"/>
                <w:spacing w:val="-6"/>
                <w:kern w:val="0"/>
                <w:sz w:val="32"/>
                <w:szCs w:val="32"/>
                <w:lang w:bidi="ar"/>
              </w:rPr>
              <w:t>《安徽省物业管理条例》第三十五条第二款  业主委员会应当于每年3月底前以书面形式在物业管理区域内显著位置公布上一年业主大会、业主委员会经费收支情况，接受业主监督。业主监事会或者独立监事应当进行检查；发现问题的，应当要求业主委员会予以纠正。经持有百分之二十以上投票权数的业主提议，业主委员会应当对经费收支情况进行审计。</w:t>
            </w:r>
          </w:p>
        </w:tc>
      </w:tr>
      <w:tr w14:paraId="08E61B6B">
        <w:tblPrEx>
          <w:tblCellMar>
            <w:top w:w="0" w:type="dxa"/>
            <w:left w:w="108" w:type="dxa"/>
            <w:bottom w:w="0" w:type="dxa"/>
            <w:right w:w="108" w:type="dxa"/>
          </w:tblCellMar>
        </w:tblPrEx>
        <w:trPr>
          <w:trHeight w:val="1580" w:hRule="atLeast"/>
        </w:trPr>
        <w:tc>
          <w:tcPr>
            <w:tcW w:w="687" w:type="dxa"/>
            <w:vMerge w:val="continue"/>
            <w:tcBorders>
              <w:top w:val="single" w:color="000000" w:sz="4" w:space="0"/>
              <w:left w:val="single" w:color="000000" w:sz="4" w:space="0"/>
              <w:bottom w:val="single" w:color="000000" w:sz="4" w:space="0"/>
              <w:right w:val="single" w:color="000000" w:sz="4" w:space="0"/>
            </w:tcBorders>
            <w:noWrap/>
            <w:vAlign w:val="center"/>
          </w:tcPr>
          <w:p w14:paraId="55E26AA2">
            <w:pPr>
              <w:keepNext w:val="0"/>
              <w:keepLines w:val="0"/>
              <w:pageBreakBefore w:val="0"/>
              <w:kinsoku/>
              <w:wordWrap/>
              <w:overflowPunct/>
              <w:topLinePunct w:val="0"/>
              <w:autoSpaceDE/>
              <w:autoSpaceDN/>
              <w:bidi w:val="0"/>
              <w:adjustRightInd/>
              <w:snapToGrid/>
              <w:spacing w:line="590" w:lineRule="exact"/>
              <w:ind w:left="0" w:leftChars="0" w:firstLine="0" w:firstLineChars="0"/>
              <w:jc w:val="center"/>
              <w:rPr>
                <w:rFonts w:hint="default" w:ascii="Times New Roman" w:hAnsi="Times New Roman" w:eastAsia="方正仿宋_GBK" w:cs="Times New Roman"/>
                <w:b/>
                <w:bCs/>
                <w:color w:val="000000"/>
                <w:spacing w:val="-6"/>
                <w:sz w:val="32"/>
                <w:szCs w:val="32"/>
              </w:rPr>
            </w:pPr>
          </w:p>
        </w:tc>
        <w:tc>
          <w:tcPr>
            <w:tcW w:w="3975" w:type="dxa"/>
            <w:vMerge w:val="continue"/>
            <w:tcBorders>
              <w:top w:val="single" w:color="000000" w:sz="4" w:space="0"/>
              <w:left w:val="single" w:color="000000" w:sz="4" w:space="0"/>
              <w:bottom w:val="single" w:color="000000" w:sz="4" w:space="0"/>
              <w:right w:val="single" w:color="000000" w:sz="4" w:space="0"/>
            </w:tcBorders>
            <w:noWrap w:val="0"/>
            <w:vAlign w:val="center"/>
          </w:tcPr>
          <w:p w14:paraId="72F571C7">
            <w:pPr>
              <w:keepNext w:val="0"/>
              <w:keepLines w:val="0"/>
              <w:pageBreakBefore w:val="0"/>
              <w:kinsoku/>
              <w:wordWrap/>
              <w:overflowPunct/>
              <w:topLinePunct w:val="0"/>
              <w:autoSpaceDE/>
              <w:autoSpaceDN/>
              <w:bidi w:val="0"/>
              <w:adjustRightInd/>
              <w:snapToGrid/>
              <w:spacing w:line="590" w:lineRule="exact"/>
              <w:ind w:left="0" w:leftChars="0" w:firstLine="0" w:firstLineChars="0"/>
              <w:jc w:val="left"/>
              <w:rPr>
                <w:rFonts w:hint="default" w:ascii="Times New Roman" w:hAnsi="Times New Roman" w:eastAsia="方正仿宋_GBK" w:cs="Times New Roman"/>
                <w:color w:val="000000"/>
                <w:spacing w:val="-6"/>
                <w:sz w:val="32"/>
                <w:szCs w:val="32"/>
              </w:rPr>
            </w:pPr>
          </w:p>
        </w:tc>
        <w:tc>
          <w:tcPr>
            <w:tcW w:w="10110" w:type="dxa"/>
            <w:tcBorders>
              <w:top w:val="single" w:color="000000" w:sz="4" w:space="0"/>
              <w:left w:val="single" w:color="000000" w:sz="4" w:space="0"/>
              <w:bottom w:val="single" w:color="000000" w:sz="4" w:space="0"/>
              <w:right w:val="single" w:color="000000" w:sz="4" w:space="0"/>
            </w:tcBorders>
            <w:noWrap w:val="0"/>
            <w:vAlign w:val="center"/>
          </w:tcPr>
          <w:p w14:paraId="0F27FC4F">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sz w:val="32"/>
                <w:szCs w:val="32"/>
              </w:rPr>
            </w:pPr>
            <w:r>
              <w:rPr>
                <w:rFonts w:hint="default" w:ascii="Times New Roman" w:hAnsi="Times New Roman" w:eastAsia="方正仿宋_GBK" w:cs="Times New Roman"/>
                <w:color w:val="000000"/>
                <w:spacing w:val="-6"/>
                <w:kern w:val="0"/>
                <w:sz w:val="32"/>
                <w:szCs w:val="32"/>
                <w:lang w:bidi="ar"/>
              </w:rPr>
              <w:t>《六安市物业管理条例》第十六条  业主委员会经业主大会选举产生，并按照规定办理备案手续后，持街道办事处、乡镇人民政府备案证明向公安机关申请刻制业主大会印章和业主委员会印章，开设基本账户。业主委员会应当建立印章管理规定，并指定专人保管印章。</w:t>
            </w:r>
          </w:p>
        </w:tc>
      </w:tr>
      <w:tr w14:paraId="3DFB7767">
        <w:tblPrEx>
          <w:tblCellMar>
            <w:top w:w="0" w:type="dxa"/>
            <w:left w:w="108" w:type="dxa"/>
            <w:bottom w:w="0" w:type="dxa"/>
            <w:right w:w="108" w:type="dxa"/>
          </w:tblCellMar>
        </w:tblPrEx>
        <w:trPr>
          <w:trHeight w:val="1995" w:hRule="atLeast"/>
        </w:trPr>
        <w:tc>
          <w:tcPr>
            <w:tcW w:w="687" w:type="dxa"/>
            <w:vMerge w:val="restart"/>
            <w:tcBorders>
              <w:top w:val="single" w:color="000000" w:sz="4" w:space="0"/>
              <w:left w:val="single" w:color="000000" w:sz="4" w:space="0"/>
              <w:bottom w:val="single" w:color="000000" w:sz="4" w:space="0"/>
              <w:right w:val="single" w:color="000000" w:sz="4" w:space="0"/>
            </w:tcBorders>
            <w:noWrap/>
            <w:vAlign w:val="center"/>
          </w:tcPr>
          <w:p w14:paraId="46F891BF">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center"/>
              <w:textAlignment w:val="center"/>
              <w:rPr>
                <w:rFonts w:hint="default" w:ascii="Times New Roman" w:hAnsi="Times New Roman" w:eastAsia="方正仿宋_GBK" w:cs="Times New Roman"/>
                <w:b/>
                <w:bCs/>
                <w:color w:val="000000"/>
                <w:spacing w:val="-6"/>
                <w:sz w:val="32"/>
                <w:szCs w:val="32"/>
              </w:rPr>
            </w:pPr>
            <w:r>
              <w:rPr>
                <w:rFonts w:hint="eastAsia" w:ascii="方正楷体_GBK" w:hAnsi="方正楷体_GBK" w:eastAsia="方正楷体_GBK" w:cs="方正楷体_GBK"/>
                <w:b/>
                <w:bCs/>
                <w:color w:val="000000"/>
                <w:spacing w:val="-6"/>
                <w:kern w:val="0"/>
                <w:sz w:val="30"/>
                <w:szCs w:val="30"/>
                <w:lang w:eastAsia="zh-CN" w:bidi="ar"/>
              </w:rPr>
              <w:t>八</w:t>
            </w:r>
            <w:r>
              <w:rPr>
                <w:rFonts w:hint="default" w:ascii="方正楷体_GBK" w:hAnsi="方正楷体_GBK" w:eastAsia="方正楷体_GBK" w:cs="方正楷体_GBK"/>
                <w:b/>
                <w:bCs/>
                <w:color w:val="000000"/>
                <w:spacing w:val="-6"/>
                <w:kern w:val="0"/>
                <w:sz w:val="30"/>
                <w:szCs w:val="30"/>
                <w:lang w:eastAsia="zh-CN" w:bidi="ar"/>
              </w:rPr>
              <w:t>、换届选举</w:t>
            </w:r>
          </w:p>
        </w:tc>
        <w:tc>
          <w:tcPr>
            <w:tcW w:w="3975" w:type="dxa"/>
            <w:vMerge w:val="restart"/>
            <w:tcBorders>
              <w:top w:val="single" w:color="000000" w:sz="4" w:space="0"/>
              <w:left w:val="single" w:color="000000" w:sz="4" w:space="0"/>
              <w:bottom w:val="single" w:color="000000" w:sz="4" w:space="0"/>
              <w:right w:val="single" w:color="000000" w:sz="4" w:space="0"/>
            </w:tcBorders>
            <w:noWrap w:val="0"/>
            <w:vAlign w:val="center"/>
          </w:tcPr>
          <w:p w14:paraId="761B491A">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（一）业主委员会任期届满前3个月，应当组织召开业主大会会议，进行换届选举，并报告县区物业管理行政主管部门和街道（乡镇）；</w:t>
            </w:r>
          </w:p>
          <w:p w14:paraId="3966A256">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（二）业主委员会应当自任期届满之日起10日内，将其保管的档案资料、印章及其他属于业主大会所有的财物移交新一届业主委员会；</w:t>
            </w:r>
          </w:p>
          <w:p w14:paraId="51973AD4">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sz w:val="32"/>
                <w:szCs w:val="32"/>
              </w:rPr>
            </w:pPr>
            <w:r>
              <w:rPr>
                <w:rFonts w:hint="default" w:ascii="Times New Roman" w:hAnsi="Times New Roman" w:eastAsia="方正仿宋_GBK" w:cs="Times New Roman"/>
                <w:color w:val="000000"/>
                <w:spacing w:val="-6"/>
                <w:kern w:val="0"/>
                <w:sz w:val="32"/>
                <w:szCs w:val="32"/>
                <w:lang w:bidi="ar"/>
              </w:rPr>
              <w:t>（三）业主委员会委员资格终止的，应当自终止之日起3日内将其保管的档案资料、印章及其他属于全体业主所有的财物移交本届业主委员会。</w:t>
            </w:r>
          </w:p>
        </w:tc>
        <w:tc>
          <w:tcPr>
            <w:tcW w:w="10110" w:type="dxa"/>
            <w:tcBorders>
              <w:top w:val="single" w:color="000000" w:sz="4" w:space="0"/>
              <w:left w:val="single" w:color="000000" w:sz="4" w:space="0"/>
              <w:bottom w:val="single" w:color="000000" w:sz="4" w:space="0"/>
              <w:right w:val="single" w:color="000000" w:sz="4" w:space="0"/>
            </w:tcBorders>
            <w:noWrap w:val="0"/>
            <w:vAlign w:val="center"/>
          </w:tcPr>
          <w:p w14:paraId="146EB306">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《安徽省物业管理条例》第二十九条  业主委员会任期届满三个月前，应当召开业主大会进行业主委员会的换届选举；逾期未换届的，街道办事处、乡镇人民政府应当责令其限期组织换届选举；逾期仍未组织的，可以由居民委员会、村民委员会在街道办事处、乡镇人民政府的指导和监督下，组织换届选举工作。</w:t>
            </w:r>
          </w:p>
          <w:p w14:paraId="191AAFED">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业主委员会应当自新一届业主委员会履职之日起十日内，将其保管的档案资料、印章及其他属于全体业主所有的财物予以移交。拒不移交的，新一届业主委员会可以请求街道办事处或者乡镇人民政府督促其移交。</w:t>
            </w:r>
          </w:p>
          <w:p w14:paraId="3297881E">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业主委员会委员资格终止的，应当自终止之日起三日内将其保管的档案资料、印章及其他属于全体业主所有的财物移交本届业主委员会。拒不移交的，业主委员会、业主或者居民委员会、村民委员会可以请求街道办事处或者乡镇人民政府督促其移交。</w:t>
            </w:r>
          </w:p>
          <w:p w14:paraId="5D052868">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sz w:val="32"/>
                <w:szCs w:val="32"/>
              </w:rPr>
            </w:pPr>
            <w:r>
              <w:rPr>
                <w:rFonts w:hint="default" w:ascii="Times New Roman" w:hAnsi="Times New Roman" w:eastAsia="方正仿宋_GBK" w:cs="Times New Roman"/>
                <w:color w:val="000000"/>
                <w:spacing w:val="-6"/>
                <w:kern w:val="0"/>
                <w:sz w:val="32"/>
                <w:szCs w:val="32"/>
                <w:lang w:bidi="ar"/>
              </w:rPr>
              <w:t>移交过程中出现治安事件的，公安机关应当依法及时处理。</w:t>
            </w:r>
          </w:p>
        </w:tc>
      </w:tr>
      <w:tr w14:paraId="75038406">
        <w:tblPrEx>
          <w:tblCellMar>
            <w:top w:w="0" w:type="dxa"/>
            <w:left w:w="108" w:type="dxa"/>
            <w:bottom w:w="0" w:type="dxa"/>
            <w:right w:w="108" w:type="dxa"/>
          </w:tblCellMar>
        </w:tblPrEx>
        <w:trPr>
          <w:trHeight w:val="570" w:hRule="atLeast"/>
        </w:trPr>
        <w:tc>
          <w:tcPr>
            <w:tcW w:w="687" w:type="dxa"/>
            <w:vMerge w:val="continue"/>
            <w:tcBorders>
              <w:top w:val="single" w:color="000000" w:sz="4" w:space="0"/>
              <w:left w:val="single" w:color="000000" w:sz="4" w:space="0"/>
              <w:bottom w:val="single" w:color="000000" w:sz="4" w:space="0"/>
              <w:right w:val="single" w:color="000000" w:sz="4" w:space="0"/>
            </w:tcBorders>
            <w:noWrap/>
            <w:vAlign w:val="center"/>
          </w:tcPr>
          <w:p w14:paraId="3D300A50">
            <w:pPr>
              <w:keepNext w:val="0"/>
              <w:keepLines w:val="0"/>
              <w:pageBreakBefore w:val="0"/>
              <w:kinsoku/>
              <w:wordWrap/>
              <w:overflowPunct/>
              <w:topLinePunct w:val="0"/>
              <w:autoSpaceDE/>
              <w:autoSpaceDN/>
              <w:bidi w:val="0"/>
              <w:adjustRightInd/>
              <w:snapToGrid/>
              <w:spacing w:line="590" w:lineRule="exact"/>
              <w:ind w:left="0" w:leftChars="0" w:firstLine="0" w:firstLineChars="0"/>
              <w:jc w:val="center"/>
              <w:rPr>
                <w:rFonts w:hint="default" w:ascii="Times New Roman" w:hAnsi="Times New Roman" w:eastAsia="方正仿宋_GBK" w:cs="Times New Roman"/>
                <w:b/>
                <w:bCs/>
                <w:color w:val="000000"/>
                <w:spacing w:val="-6"/>
                <w:sz w:val="32"/>
                <w:szCs w:val="32"/>
              </w:rPr>
            </w:pPr>
          </w:p>
        </w:tc>
        <w:tc>
          <w:tcPr>
            <w:tcW w:w="3975" w:type="dxa"/>
            <w:vMerge w:val="continue"/>
            <w:tcBorders>
              <w:top w:val="single" w:color="000000" w:sz="4" w:space="0"/>
              <w:left w:val="single" w:color="000000" w:sz="4" w:space="0"/>
              <w:bottom w:val="single" w:color="000000" w:sz="4" w:space="0"/>
              <w:right w:val="single" w:color="000000" w:sz="4" w:space="0"/>
            </w:tcBorders>
            <w:noWrap w:val="0"/>
            <w:vAlign w:val="center"/>
          </w:tcPr>
          <w:p w14:paraId="4A1710D6">
            <w:pPr>
              <w:keepNext w:val="0"/>
              <w:keepLines w:val="0"/>
              <w:pageBreakBefore w:val="0"/>
              <w:kinsoku/>
              <w:wordWrap/>
              <w:overflowPunct/>
              <w:topLinePunct w:val="0"/>
              <w:autoSpaceDE/>
              <w:autoSpaceDN/>
              <w:bidi w:val="0"/>
              <w:adjustRightInd/>
              <w:snapToGrid/>
              <w:spacing w:line="590" w:lineRule="exact"/>
              <w:ind w:left="0" w:leftChars="0" w:firstLine="0" w:firstLineChars="0"/>
              <w:jc w:val="left"/>
              <w:rPr>
                <w:rFonts w:hint="default" w:ascii="Times New Roman" w:hAnsi="Times New Roman" w:eastAsia="方正仿宋_GBK" w:cs="Times New Roman"/>
                <w:color w:val="000000"/>
                <w:spacing w:val="-6"/>
                <w:sz w:val="32"/>
                <w:szCs w:val="32"/>
              </w:rPr>
            </w:pPr>
          </w:p>
        </w:tc>
        <w:tc>
          <w:tcPr>
            <w:tcW w:w="10110" w:type="dxa"/>
            <w:tcBorders>
              <w:top w:val="single" w:color="000000" w:sz="4" w:space="0"/>
              <w:left w:val="single" w:color="000000" w:sz="4" w:space="0"/>
              <w:bottom w:val="single" w:color="000000" w:sz="4" w:space="0"/>
              <w:right w:val="single" w:color="000000" w:sz="4" w:space="0"/>
            </w:tcBorders>
            <w:noWrap w:val="0"/>
            <w:vAlign w:val="center"/>
          </w:tcPr>
          <w:p w14:paraId="3256071E">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sz w:val="32"/>
                <w:szCs w:val="32"/>
              </w:rPr>
            </w:pPr>
            <w:r>
              <w:rPr>
                <w:rFonts w:hint="default" w:ascii="Times New Roman" w:hAnsi="Times New Roman" w:eastAsia="方正仿宋_GBK" w:cs="Times New Roman"/>
                <w:color w:val="000000"/>
                <w:spacing w:val="-6"/>
                <w:kern w:val="0"/>
                <w:sz w:val="32"/>
                <w:szCs w:val="32"/>
                <w:lang w:bidi="ar"/>
              </w:rPr>
              <w:t>《业主</w:t>
            </w:r>
            <w:r>
              <w:rPr>
                <w:rFonts w:hint="eastAsia" w:ascii="Times New Roman" w:hAnsi="Times New Roman" w:eastAsia="方正仿宋_GBK" w:cs="Times New Roman"/>
                <w:color w:val="000000"/>
                <w:spacing w:val="-6"/>
                <w:kern w:val="0"/>
                <w:sz w:val="32"/>
                <w:szCs w:val="32"/>
                <w:lang w:eastAsia="zh-CN" w:bidi="ar"/>
              </w:rPr>
              <w:t>大</w:t>
            </w:r>
            <w:r>
              <w:rPr>
                <w:rFonts w:hint="default" w:ascii="Times New Roman" w:hAnsi="Times New Roman" w:eastAsia="方正仿宋_GBK" w:cs="Times New Roman"/>
                <w:color w:val="000000"/>
                <w:spacing w:val="-6"/>
                <w:kern w:val="0"/>
                <w:sz w:val="32"/>
                <w:szCs w:val="32"/>
                <w:lang w:bidi="ar"/>
              </w:rPr>
              <w:t>会和业主委员会指导规则》第四十七条  业主委员会任期届满前3个月，应当组织召开业主大会会议，进行换届选举，并报告物业所在地的区、县房地产行政主管部门和街道办事处、乡镇人民政府。</w:t>
            </w:r>
          </w:p>
        </w:tc>
      </w:tr>
      <w:tr w14:paraId="665FE901">
        <w:tblPrEx>
          <w:tblCellMar>
            <w:top w:w="0" w:type="dxa"/>
            <w:left w:w="108" w:type="dxa"/>
            <w:bottom w:w="0" w:type="dxa"/>
            <w:right w:w="108" w:type="dxa"/>
          </w:tblCellMar>
        </w:tblPrEx>
        <w:trPr>
          <w:trHeight w:val="285" w:hRule="atLeast"/>
        </w:trPr>
        <w:tc>
          <w:tcPr>
            <w:tcW w:w="687" w:type="dxa"/>
            <w:vMerge w:val="continue"/>
            <w:tcBorders>
              <w:top w:val="single" w:color="000000" w:sz="4" w:space="0"/>
              <w:left w:val="single" w:color="000000" w:sz="4" w:space="0"/>
              <w:bottom w:val="single" w:color="000000" w:sz="4" w:space="0"/>
              <w:right w:val="single" w:color="000000" w:sz="4" w:space="0"/>
            </w:tcBorders>
            <w:noWrap/>
            <w:vAlign w:val="center"/>
          </w:tcPr>
          <w:p w14:paraId="62D2228A">
            <w:pPr>
              <w:keepNext w:val="0"/>
              <w:keepLines w:val="0"/>
              <w:pageBreakBefore w:val="0"/>
              <w:kinsoku/>
              <w:wordWrap/>
              <w:overflowPunct/>
              <w:topLinePunct w:val="0"/>
              <w:autoSpaceDE/>
              <w:autoSpaceDN/>
              <w:bidi w:val="0"/>
              <w:adjustRightInd/>
              <w:snapToGrid/>
              <w:spacing w:line="590" w:lineRule="exact"/>
              <w:ind w:left="0" w:leftChars="0" w:firstLine="0" w:firstLineChars="0"/>
              <w:jc w:val="center"/>
              <w:rPr>
                <w:rFonts w:hint="default" w:ascii="Times New Roman" w:hAnsi="Times New Roman" w:eastAsia="方正仿宋_GBK" w:cs="Times New Roman"/>
                <w:b/>
                <w:bCs/>
                <w:color w:val="000000"/>
                <w:spacing w:val="-6"/>
                <w:sz w:val="32"/>
                <w:szCs w:val="32"/>
              </w:rPr>
            </w:pPr>
          </w:p>
        </w:tc>
        <w:tc>
          <w:tcPr>
            <w:tcW w:w="3975" w:type="dxa"/>
            <w:vMerge w:val="continue"/>
            <w:tcBorders>
              <w:top w:val="single" w:color="000000" w:sz="4" w:space="0"/>
              <w:left w:val="single" w:color="000000" w:sz="4" w:space="0"/>
              <w:bottom w:val="single" w:color="000000" w:sz="4" w:space="0"/>
              <w:right w:val="single" w:color="000000" w:sz="4" w:space="0"/>
            </w:tcBorders>
            <w:noWrap w:val="0"/>
            <w:vAlign w:val="center"/>
          </w:tcPr>
          <w:p w14:paraId="5DBD07B9">
            <w:pPr>
              <w:keepNext w:val="0"/>
              <w:keepLines w:val="0"/>
              <w:pageBreakBefore w:val="0"/>
              <w:kinsoku/>
              <w:wordWrap/>
              <w:overflowPunct/>
              <w:topLinePunct w:val="0"/>
              <w:autoSpaceDE/>
              <w:autoSpaceDN/>
              <w:bidi w:val="0"/>
              <w:adjustRightInd/>
              <w:snapToGrid/>
              <w:spacing w:line="590" w:lineRule="exact"/>
              <w:ind w:left="0" w:leftChars="0" w:firstLine="0" w:firstLineChars="0"/>
              <w:jc w:val="left"/>
              <w:rPr>
                <w:rFonts w:hint="default" w:ascii="Times New Roman" w:hAnsi="Times New Roman" w:eastAsia="方正仿宋_GBK" w:cs="Times New Roman"/>
                <w:color w:val="000000"/>
                <w:spacing w:val="-6"/>
                <w:sz w:val="32"/>
                <w:szCs w:val="32"/>
              </w:rPr>
            </w:pPr>
          </w:p>
        </w:tc>
        <w:tc>
          <w:tcPr>
            <w:tcW w:w="10110" w:type="dxa"/>
            <w:tcBorders>
              <w:top w:val="single" w:color="000000" w:sz="4" w:space="0"/>
              <w:left w:val="single" w:color="000000" w:sz="4" w:space="0"/>
              <w:bottom w:val="single" w:color="000000" w:sz="4" w:space="0"/>
              <w:right w:val="single" w:color="000000" w:sz="4" w:space="0"/>
            </w:tcBorders>
            <w:noWrap/>
            <w:vAlign w:val="center"/>
          </w:tcPr>
          <w:p w14:paraId="159DA478">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sz w:val="32"/>
                <w:szCs w:val="32"/>
              </w:rPr>
            </w:pPr>
            <w:r>
              <w:rPr>
                <w:rFonts w:hint="default" w:ascii="Times New Roman" w:hAnsi="Times New Roman" w:eastAsia="方正仿宋_GBK" w:cs="Times New Roman"/>
                <w:color w:val="000000"/>
                <w:spacing w:val="-6"/>
                <w:kern w:val="0"/>
                <w:sz w:val="32"/>
                <w:szCs w:val="32"/>
                <w:lang w:bidi="ar"/>
              </w:rPr>
              <w:t>《业主</w:t>
            </w:r>
            <w:r>
              <w:rPr>
                <w:rFonts w:hint="eastAsia" w:ascii="Times New Roman" w:hAnsi="Times New Roman" w:eastAsia="方正仿宋_GBK" w:cs="Times New Roman"/>
                <w:color w:val="000000"/>
                <w:spacing w:val="-6"/>
                <w:kern w:val="0"/>
                <w:sz w:val="32"/>
                <w:szCs w:val="32"/>
                <w:lang w:eastAsia="zh-CN" w:bidi="ar"/>
              </w:rPr>
              <w:t>大</w:t>
            </w:r>
            <w:r>
              <w:rPr>
                <w:rFonts w:hint="default" w:ascii="Times New Roman" w:hAnsi="Times New Roman" w:eastAsia="方正仿宋_GBK" w:cs="Times New Roman"/>
                <w:color w:val="000000"/>
                <w:spacing w:val="-6"/>
                <w:kern w:val="0"/>
                <w:sz w:val="32"/>
                <w:szCs w:val="32"/>
                <w:lang w:bidi="ar"/>
              </w:rPr>
              <w:t>会和业主委员会指导规则》第四十八条  业主委员会应当自任期届满之日起10日内，将其保管的档案资料、印章及其他属于业主大会所有的财物移交新一届业主委员会。</w:t>
            </w:r>
          </w:p>
        </w:tc>
      </w:tr>
      <w:tr w14:paraId="79516635">
        <w:tblPrEx>
          <w:tblCellMar>
            <w:top w:w="0" w:type="dxa"/>
            <w:left w:w="108" w:type="dxa"/>
            <w:bottom w:w="0" w:type="dxa"/>
            <w:right w:w="108" w:type="dxa"/>
          </w:tblCellMar>
        </w:tblPrEx>
        <w:trPr>
          <w:trHeight w:val="570" w:hRule="atLeast"/>
        </w:trPr>
        <w:tc>
          <w:tcPr>
            <w:tcW w:w="687" w:type="dxa"/>
            <w:vMerge w:val="restart"/>
            <w:tcBorders>
              <w:top w:val="single" w:color="000000" w:sz="4" w:space="0"/>
              <w:left w:val="single" w:color="000000" w:sz="4" w:space="0"/>
              <w:bottom w:val="single" w:color="000000" w:sz="4" w:space="0"/>
              <w:right w:val="single" w:color="000000" w:sz="4" w:space="0"/>
            </w:tcBorders>
            <w:noWrap/>
            <w:vAlign w:val="center"/>
          </w:tcPr>
          <w:p w14:paraId="235086D5">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center"/>
              <w:textAlignment w:val="center"/>
              <w:rPr>
                <w:rFonts w:hint="default" w:ascii="方正楷体_GBK" w:hAnsi="方正楷体_GBK" w:eastAsia="方正楷体_GBK" w:cs="方正楷体_GBK"/>
                <w:b/>
                <w:bCs/>
                <w:color w:val="000000"/>
                <w:spacing w:val="-6"/>
                <w:kern w:val="0"/>
                <w:sz w:val="30"/>
                <w:szCs w:val="30"/>
                <w:lang w:eastAsia="zh-CN" w:bidi="ar"/>
              </w:rPr>
            </w:pPr>
            <w:r>
              <w:rPr>
                <w:rFonts w:hint="eastAsia" w:ascii="方正楷体_GBK" w:hAnsi="方正楷体_GBK" w:eastAsia="方正楷体_GBK" w:cs="方正楷体_GBK"/>
                <w:b/>
                <w:bCs/>
                <w:color w:val="000000"/>
                <w:spacing w:val="-6"/>
                <w:kern w:val="0"/>
                <w:sz w:val="30"/>
                <w:szCs w:val="30"/>
                <w:lang w:eastAsia="zh-CN" w:bidi="ar"/>
              </w:rPr>
              <w:t>九</w:t>
            </w:r>
            <w:r>
              <w:rPr>
                <w:rFonts w:hint="default" w:ascii="方正楷体_GBK" w:hAnsi="方正楷体_GBK" w:eastAsia="方正楷体_GBK" w:cs="方正楷体_GBK"/>
                <w:b/>
                <w:bCs/>
                <w:color w:val="000000"/>
                <w:spacing w:val="-6"/>
                <w:kern w:val="0"/>
                <w:sz w:val="30"/>
                <w:szCs w:val="30"/>
                <w:lang w:eastAsia="zh-CN" w:bidi="ar"/>
              </w:rPr>
              <w:t>、选聘物业</w:t>
            </w:r>
          </w:p>
        </w:tc>
        <w:tc>
          <w:tcPr>
            <w:tcW w:w="3975" w:type="dxa"/>
            <w:vMerge w:val="restart"/>
            <w:tcBorders>
              <w:top w:val="single" w:color="000000" w:sz="4" w:space="0"/>
              <w:left w:val="single" w:color="000000" w:sz="4" w:space="0"/>
              <w:bottom w:val="single" w:color="000000" w:sz="4" w:space="0"/>
              <w:right w:val="single" w:color="000000" w:sz="4" w:space="0"/>
            </w:tcBorders>
            <w:noWrap w:val="0"/>
            <w:vAlign w:val="center"/>
          </w:tcPr>
          <w:p w14:paraId="54423A08">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（一）物业服务合同期限届满前90日，业主委员会应当召集业主大会会议，讨论决定物业服务企业的聘用事宜。继续聘用的，应当签订新的书面物业服务合同；决定不续聘的，应当及时告知物业服务企业；</w:t>
            </w:r>
          </w:p>
          <w:p w14:paraId="3E8C7434">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（二）业主委员会提前解除物业服务合同的，应当于60日前书面告知物业服务企业，在物业管理区域内显著位置公告，并书面告知所在地的县区物业管理行政主管部门、街道（乡镇）；</w:t>
            </w:r>
          </w:p>
          <w:p w14:paraId="1DDB1D8C">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（三）业主大会决定采用协议方式选聘物业服务企业的，业主委员会应当将2家以上备选的物业服务企业的基本情况、拟签订的物业服务合同的主要内容在物业管理区域内显著位置公示；</w:t>
            </w:r>
          </w:p>
          <w:p w14:paraId="6F08A344">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四）物业服务合同签订前，业主委员会应当将拟签订的物业服务合同在物业管理区域内显著位置公示少于10日，充分听取业主意见后，再提交业主大会通过。物业服务合同内容确需调整的，业主委员会应当将调整的内容在物业管理区域内显著位置公示不少于10日，并按照业主大会规定的程序确认调整合同；</w:t>
            </w:r>
          </w:p>
          <w:p w14:paraId="0AA660D6">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sz w:val="32"/>
                <w:szCs w:val="32"/>
              </w:rPr>
            </w:pPr>
            <w:r>
              <w:rPr>
                <w:rFonts w:hint="default" w:ascii="Times New Roman" w:hAnsi="Times New Roman" w:eastAsia="方正仿宋_GBK" w:cs="Times New Roman"/>
                <w:color w:val="000000"/>
                <w:spacing w:val="-6"/>
                <w:kern w:val="0"/>
                <w:sz w:val="32"/>
                <w:szCs w:val="32"/>
                <w:lang w:bidi="ar"/>
              </w:rPr>
              <w:t>（五）业主大会重新选聘物业服务企业后，业主委员会应当将原物业服务企业移交的承接查验等资料和财物移交重新选聘的物业服务企业。</w:t>
            </w:r>
          </w:p>
        </w:tc>
        <w:tc>
          <w:tcPr>
            <w:tcW w:w="10110" w:type="dxa"/>
            <w:tcBorders>
              <w:top w:val="single" w:color="000000" w:sz="4" w:space="0"/>
              <w:left w:val="single" w:color="000000" w:sz="4" w:space="0"/>
              <w:bottom w:val="single" w:color="000000" w:sz="4" w:space="0"/>
              <w:right w:val="single" w:color="000000" w:sz="4" w:space="0"/>
            </w:tcBorders>
            <w:noWrap w:val="0"/>
            <w:vAlign w:val="center"/>
          </w:tcPr>
          <w:p w14:paraId="38D7FCA2">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《物业管理条例》第三十四条  业主委员会应当与业主大会选聘的物业服务企业订立书面的物业服务合同。</w:t>
            </w:r>
          </w:p>
          <w:p w14:paraId="6A475D3B">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sz w:val="32"/>
                <w:szCs w:val="32"/>
              </w:rPr>
            </w:pPr>
            <w:r>
              <w:rPr>
                <w:rFonts w:hint="default" w:ascii="Times New Roman" w:hAnsi="Times New Roman" w:eastAsia="方正仿宋_GBK" w:cs="Times New Roman"/>
                <w:color w:val="000000"/>
                <w:spacing w:val="-6"/>
                <w:kern w:val="0"/>
                <w:sz w:val="32"/>
                <w:szCs w:val="32"/>
                <w:lang w:bidi="ar"/>
              </w:rPr>
              <w:t>物业服务合同应当对物业管理事项、服务质量、服务费用、双方的权利义务、专项维修资金的管理与使用、物业管理用房、合同期限、违约责任等内容进行约定。</w:t>
            </w:r>
          </w:p>
        </w:tc>
      </w:tr>
      <w:tr w14:paraId="14895C20">
        <w:tblPrEx>
          <w:tblCellMar>
            <w:top w:w="0" w:type="dxa"/>
            <w:left w:w="108" w:type="dxa"/>
            <w:bottom w:w="0" w:type="dxa"/>
            <w:right w:w="108" w:type="dxa"/>
          </w:tblCellMar>
        </w:tblPrEx>
        <w:trPr>
          <w:trHeight w:val="570" w:hRule="atLeast"/>
        </w:trPr>
        <w:tc>
          <w:tcPr>
            <w:tcW w:w="687" w:type="dxa"/>
            <w:vMerge w:val="continue"/>
            <w:tcBorders>
              <w:top w:val="single" w:color="000000" w:sz="4" w:space="0"/>
              <w:left w:val="single" w:color="000000" w:sz="4" w:space="0"/>
              <w:bottom w:val="single" w:color="000000" w:sz="4" w:space="0"/>
              <w:right w:val="single" w:color="000000" w:sz="4" w:space="0"/>
            </w:tcBorders>
            <w:noWrap/>
            <w:vAlign w:val="center"/>
          </w:tcPr>
          <w:p w14:paraId="64388130">
            <w:pPr>
              <w:keepNext w:val="0"/>
              <w:keepLines w:val="0"/>
              <w:pageBreakBefore w:val="0"/>
              <w:kinsoku/>
              <w:wordWrap/>
              <w:overflowPunct/>
              <w:topLinePunct w:val="0"/>
              <w:autoSpaceDE/>
              <w:autoSpaceDN/>
              <w:bidi w:val="0"/>
              <w:adjustRightInd/>
              <w:snapToGrid/>
              <w:spacing w:line="590" w:lineRule="exact"/>
              <w:ind w:left="0" w:leftChars="0" w:firstLine="0" w:firstLineChars="0"/>
              <w:jc w:val="center"/>
              <w:rPr>
                <w:rFonts w:hint="default" w:ascii="Times New Roman" w:hAnsi="Times New Roman" w:eastAsia="方正仿宋_GBK" w:cs="Times New Roman"/>
                <w:b/>
                <w:bCs/>
                <w:color w:val="000000"/>
                <w:spacing w:val="-6"/>
                <w:sz w:val="32"/>
                <w:szCs w:val="32"/>
              </w:rPr>
            </w:pPr>
          </w:p>
        </w:tc>
        <w:tc>
          <w:tcPr>
            <w:tcW w:w="3975" w:type="dxa"/>
            <w:vMerge w:val="continue"/>
            <w:tcBorders>
              <w:top w:val="single" w:color="000000" w:sz="4" w:space="0"/>
              <w:left w:val="single" w:color="000000" w:sz="4" w:space="0"/>
              <w:bottom w:val="single" w:color="000000" w:sz="4" w:space="0"/>
              <w:right w:val="single" w:color="000000" w:sz="4" w:space="0"/>
            </w:tcBorders>
            <w:noWrap w:val="0"/>
            <w:vAlign w:val="center"/>
          </w:tcPr>
          <w:p w14:paraId="1A5A237F">
            <w:pPr>
              <w:keepNext w:val="0"/>
              <w:keepLines w:val="0"/>
              <w:pageBreakBefore w:val="0"/>
              <w:kinsoku/>
              <w:wordWrap/>
              <w:overflowPunct/>
              <w:topLinePunct w:val="0"/>
              <w:autoSpaceDE/>
              <w:autoSpaceDN/>
              <w:bidi w:val="0"/>
              <w:adjustRightInd/>
              <w:snapToGrid/>
              <w:spacing w:line="590" w:lineRule="exact"/>
              <w:ind w:left="0" w:leftChars="0" w:firstLine="0" w:firstLineChars="0"/>
              <w:jc w:val="left"/>
              <w:rPr>
                <w:rFonts w:hint="default" w:ascii="Times New Roman" w:hAnsi="Times New Roman" w:eastAsia="方正仿宋_GBK" w:cs="Times New Roman"/>
                <w:color w:val="000000"/>
                <w:spacing w:val="-6"/>
                <w:sz w:val="32"/>
                <w:szCs w:val="32"/>
              </w:rPr>
            </w:pPr>
          </w:p>
        </w:tc>
        <w:tc>
          <w:tcPr>
            <w:tcW w:w="10110" w:type="dxa"/>
            <w:tcBorders>
              <w:top w:val="single" w:color="000000" w:sz="4" w:space="0"/>
              <w:left w:val="single" w:color="000000" w:sz="4" w:space="0"/>
              <w:bottom w:val="single" w:color="000000" w:sz="4" w:space="0"/>
              <w:right w:val="single" w:color="000000" w:sz="4" w:space="0"/>
            </w:tcBorders>
            <w:noWrap w:val="0"/>
            <w:vAlign w:val="center"/>
          </w:tcPr>
          <w:p w14:paraId="4475703D">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《物业管理条例》《物业管理条例》第三十六条  物业服务企业承接物业时，应当与业主委员会办理物业验收手续。</w:t>
            </w:r>
          </w:p>
          <w:p w14:paraId="712B9E0E">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sz w:val="32"/>
                <w:szCs w:val="32"/>
              </w:rPr>
            </w:pPr>
            <w:r>
              <w:rPr>
                <w:rFonts w:hint="default" w:ascii="Times New Roman" w:hAnsi="Times New Roman" w:eastAsia="方正仿宋_GBK" w:cs="Times New Roman"/>
                <w:color w:val="000000"/>
                <w:spacing w:val="-6"/>
                <w:kern w:val="0"/>
                <w:sz w:val="32"/>
                <w:szCs w:val="32"/>
                <w:lang w:bidi="ar"/>
              </w:rPr>
              <w:t>业主委员会应当向物业服务企业移交本条例第二十九条第一款规定的资料。</w:t>
            </w:r>
          </w:p>
        </w:tc>
      </w:tr>
      <w:tr w14:paraId="3BA75B27">
        <w:tblPrEx>
          <w:tblCellMar>
            <w:top w:w="0" w:type="dxa"/>
            <w:left w:w="108" w:type="dxa"/>
            <w:bottom w:w="0" w:type="dxa"/>
            <w:right w:w="108" w:type="dxa"/>
          </w:tblCellMar>
        </w:tblPrEx>
        <w:trPr>
          <w:trHeight w:val="570" w:hRule="atLeast"/>
        </w:trPr>
        <w:tc>
          <w:tcPr>
            <w:tcW w:w="687" w:type="dxa"/>
            <w:vMerge w:val="continue"/>
            <w:tcBorders>
              <w:top w:val="single" w:color="000000" w:sz="4" w:space="0"/>
              <w:left w:val="single" w:color="000000" w:sz="4" w:space="0"/>
              <w:bottom w:val="single" w:color="000000" w:sz="4" w:space="0"/>
              <w:right w:val="single" w:color="000000" w:sz="4" w:space="0"/>
            </w:tcBorders>
            <w:noWrap/>
            <w:vAlign w:val="center"/>
          </w:tcPr>
          <w:p w14:paraId="5167D62E">
            <w:pPr>
              <w:keepNext w:val="0"/>
              <w:keepLines w:val="0"/>
              <w:pageBreakBefore w:val="0"/>
              <w:kinsoku/>
              <w:wordWrap/>
              <w:overflowPunct/>
              <w:topLinePunct w:val="0"/>
              <w:autoSpaceDE/>
              <w:autoSpaceDN/>
              <w:bidi w:val="0"/>
              <w:adjustRightInd/>
              <w:snapToGrid/>
              <w:spacing w:line="590" w:lineRule="exact"/>
              <w:ind w:left="0" w:leftChars="0" w:firstLine="0" w:firstLineChars="0"/>
              <w:jc w:val="center"/>
              <w:rPr>
                <w:rFonts w:hint="default" w:ascii="Times New Roman" w:hAnsi="Times New Roman" w:eastAsia="方正仿宋_GBK" w:cs="Times New Roman"/>
                <w:b/>
                <w:bCs/>
                <w:color w:val="000000"/>
                <w:spacing w:val="-6"/>
                <w:sz w:val="32"/>
                <w:szCs w:val="32"/>
              </w:rPr>
            </w:pPr>
          </w:p>
        </w:tc>
        <w:tc>
          <w:tcPr>
            <w:tcW w:w="3975" w:type="dxa"/>
            <w:vMerge w:val="continue"/>
            <w:tcBorders>
              <w:top w:val="single" w:color="000000" w:sz="4" w:space="0"/>
              <w:left w:val="single" w:color="000000" w:sz="4" w:space="0"/>
              <w:bottom w:val="single" w:color="000000" w:sz="4" w:space="0"/>
              <w:right w:val="single" w:color="000000" w:sz="4" w:space="0"/>
            </w:tcBorders>
            <w:noWrap w:val="0"/>
            <w:vAlign w:val="center"/>
          </w:tcPr>
          <w:p w14:paraId="0EF263CF">
            <w:pPr>
              <w:keepNext w:val="0"/>
              <w:keepLines w:val="0"/>
              <w:pageBreakBefore w:val="0"/>
              <w:kinsoku/>
              <w:wordWrap/>
              <w:overflowPunct/>
              <w:topLinePunct w:val="0"/>
              <w:autoSpaceDE/>
              <w:autoSpaceDN/>
              <w:bidi w:val="0"/>
              <w:adjustRightInd/>
              <w:snapToGrid/>
              <w:spacing w:line="590" w:lineRule="exact"/>
              <w:ind w:left="0" w:leftChars="0" w:firstLine="0" w:firstLineChars="0"/>
              <w:jc w:val="left"/>
              <w:rPr>
                <w:rFonts w:hint="default" w:ascii="Times New Roman" w:hAnsi="Times New Roman" w:eastAsia="方正仿宋_GBK" w:cs="Times New Roman"/>
                <w:color w:val="000000"/>
                <w:spacing w:val="-6"/>
                <w:sz w:val="32"/>
                <w:szCs w:val="32"/>
              </w:rPr>
            </w:pPr>
          </w:p>
        </w:tc>
        <w:tc>
          <w:tcPr>
            <w:tcW w:w="10110" w:type="dxa"/>
            <w:tcBorders>
              <w:top w:val="single" w:color="000000" w:sz="4" w:space="0"/>
              <w:left w:val="single" w:color="000000" w:sz="4" w:space="0"/>
              <w:bottom w:val="single" w:color="000000" w:sz="4" w:space="0"/>
              <w:right w:val="single" w:color="000000" w:sz="4" w:space="0"/>
            </w:tcBorders>
            <w:noWrap w:val="0"/>
            <w:vAlign w:val="center"/>
          </w:tcPr>
          <w:p w14:paraId="691E7A0F">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sz w:val="32"/>
                <w:szCs w:val="32"/>
              </w:rPr>
            </w:pPr>
            <w:r>
              <w:rPr>
                <w:rFonts w:hint="default" w:ascii="Times New Roman" w:hAnsi="Times New Roman" w:eastAsia="方正仿宋_GBK" w:cs="Times New Roman"/>
                <w:color w:val="000000"/>
                <w:spacing w:val="-6"/>
                <w:kern w:val="0"/>
                <w:sz w:val="32"/>
                <w:szCs w:val="32"/>
                <w:lang w:bidi="ar"/>
              </w:rPr>
              <w:t>《安徽省物业管理条例》第五十七条第二款  业主大会决定采用协议方式选聘物业服务企业的，业主委员会应当将两家以上备选的物业服务企业的基本情况、拟签订的物业服务合同的主要内容在物业管理区域内显著位置公示。业主委员会根据多数业主意见对公示内容调整后，提请业主大会投票表决。</w:t>
            </w:r>
          </w:p>
        </w:tc>
      </w:tr>
      <w:tr w14:paraId="4859E72E">
        <w:tblPrEx>
          <w:tblCellMar>
            <w:top w:w="0" w:type="dxa"/>
            <w:left w:w="108" w:type="dxa"/>
            <w:bottom w:w="0" w:type="dxa"/>
            <w:right w:w="108" w:type="dxa"/>
          </w:tblCellMar>
        </w:tblPrEx>
        <w:trPr>
          <w:trHeight w:val="855" w:hRule="atLeast"/>
        </w:trPr>
        <w:tc>
          <w:tcPr>
            <w:tcW w:w="687" w:type="dxa"/>
            <w:vMerge w:val="continue"/>
            <w:tcBorders>
              <w:top w:val="single" w:color="000000" w:sz="4" w:space="0"/>
              <w:left w:val="single" w:color="000000" w:sz="4" w:space="0"/>
              <w:bottom w:val="single" w:color="000000" w:sz="4" w:space="0"/>
              <w:right w:val="single" w:color="000000" w:sz="4" w:space="0"/>
            </w:tcBorders>
            <w:noWrap/>
            <w:vAlign w:val="center"/>
          </w:tcPr>
          <w:p w14:paraId="28186148">
            <w:pPr>
              <w:keepNext w:val="0"/>
              <w:keepLines w:val="0"/>
              <w:pageBreakBefore w:val="0"/>
              <w:kinsoku/>
              <w:wordWrap/>
              <w:overflowPunct/>
              <w:topLinePunct w:val="0"/>
              <w:autoSpaceDE/>
              <w:autoSpaceDN/>
              <w:bidi w:val="0"/>
              <w:adjustRightInd/>
              <w:snapToGrid/>
              <w:spacing w:line="590" w:lineRule="exact"/>
              <w:ind w:left="0" w:leftChars="0" w:firstLine="0" w:firstLineChars="0"/>
              <w:jc w:val="center"/>
              <w:rPr>
                <w:rFonts w:hint="default" w:ascii="Times New Roman" w:hAnsi="Times New Roman" w:eastAsia="方正仿宋_GBK" w:cs="Times New Roman"/>
                <w:b/>
                <w:bCs/>
                <w:color w:val="000000"/>
                <w:spacing w:val="-6"/>
                <w:sz w:val="32"/>
                <w:szCs w:val="32"/>
              </w:rPr>
            </w:pPr>
          </w:p>
        </w:tc>
        <w:tc>
          <w:tcPr>
            <w:tcW w:w="3975" w:type="dxa"/>
            <w:vMerge w:val="continue"/>
            <w:tcBorders>
              <w:top w:val="single" w:color="000000" w:sz="4" w:space="0"/>
              <w:left w:val="single" w:color="000000" w:sz="4" w:space="0"/>
              <w:bottom w:val="single" w:color="000000" w:sz="4" w:space="0"/>
              <w:right w:val="single" w:color="000000" w:sz="4" w:space="0"/>
            </w:tcBorders>
            <w:noWrap w:val="0"/>
            <w:vAlign w:val="center"/>
          </w:tcPr>
          <w:p w14:paraId="46F7DFF8">
            <w:pPr>
              <w:keepNext w:val="0"/>
              <w:keepLines w:val="0"/>
              <w:pageBreakBefore w:val="0"/>
              <w:kinsoku/>
              <w:wordWrap/>
              <w:overflowPunct/>
              <w:topLinePunct w:val="0"/>
              <w:autoSpaceDE/>
              <w:autoSpaceDN/>
              <w:bidi w:val="0"/>
              <w:adjustRightInd/>
              <w:snapToGrid/>
              <w:spacing w:line="590" w:lineRule="exact"/>
              <w:ind w:left="0" w:leftChars="0" w:firstLine="0" w:firstLineChars="0"/>
              <w:jc w:val="left"/>
              <w:rPr>
                <w:rFonts w:hint="default" w:ascii="Times New Roman" w:hAnsi="Times New Roman" w:eastAsia="方正仿宋_GBK" w:cs="Times New Roman"/>
                <w:color w:val="000000"/>
                <w:spacing w:val="-6"/>
                <w:sz w:val="32"/>
                <w:szCs w:val="32"/>
              </w:rPr>
            </w:pPr>
          </w:p>
        </w:tc>
        <w:tc>
          <w:tcPr>
            <w:tcW w:w="10110" w:type="dxa"/>
            <w:tcBorders>
              <w:top w:val="single" w:color="000000" w:sz="4" w:space="0"/>
              <w:left w:val="single" w:color="000000" w:sz="4" w:space="0"/>
              <w:bottom w:val="single" w:color="000000" w:sz="4" w:space="0"/>
              <w:right w:val="single" w:color="000000" w:sz="4" w:space="0"/>
            </w:tcBorders>
            <w:noWrap w:val="0"/>
            <w:vAlign w:val="center"/>
          </w:tcPr>
          <w:p w14:paraId="59635C7E">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《安徽省物业管理条例》第五十九条第一款、第二款  物业服务合同签订前，业主委员会应当将拟签订的物业服务合同在物业管理区域内显著位置公示，充分听取业主意见后，再提交业主大会通过。物业服务合同内容确需调整的，业主委员会应当将调整的内容在物业管理区域内显著位置公示，并按照业主大会规定的程序确认调整合同。</w:t>
            </w:r>
          </w:p>
          <w:p w14:paraId="32FA14B0">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sz w:val="32"/>
                <w:szCs w:val="32"/>
              </w:rPr>
            </w:pPr>
            <w:r>
              <w:rPr>
                <w:rFonts w:hint="default" w:ascii="Times New Roman" w:hAnsi="Times New Roman" w:eastAsia="方正仿宋_GBK" w:cs="Times New Roman"/>
                <w:color w:val="000000"/>
                <w:spacing w:val="-6"/>
                <w:kern w:val="0"/>
                <w:sz w:val="32"/>
                <w:szCs w:val="32"/>
                <w:lang w:bidi="ar"/>
              </w:rPr>
              <w:t>前款规定的公示时间不得少于十日。</w:t>
            </w:r>
          </w:p>
        </w:tc>
      </w:tr>
      <w:tr w14:paraId="2ABB03CE">
        <w:tblPrEx>
          <w:tblCellMar>
            <w:top w:w="0" w:type="dxa"/>
            <w:left w:w="108" w:type="dxa"/>
            <w:bottom w:w="0" w:type="dxa"/>
            <w:right w:w="108" w:type="dxa"/>
          </w:tblCellMar>
        </w:tblPrEx>
        <w:trPr>
          <w:trHeight w:val="1140" w:hRule="atLeast"/>
        </w:trPr>
        <w:tc>
          <w:tcPr>
            <w:tcW w:w="687" w:type="dxa"/>
            <w:vMerge w:val="continue"/>
            <w:tcBorders>
              <w:top w:val="single" w:color="000000" w:sz="4" w:space="0"/>
              <w:left w:val="single" w:color="000000" w:sz="4" w:space="0"/>
              <w:bottom w:val="single" w:color="000000" w:sz="4" w:space="0"/>
              <w:right w:val="single" w:color="000000" w:sz="4" w:space="0"/>
            </w:tcBorders>
            <w:noWrap/>
            <w:vAlign w:val="center"/>
          </w:tcPr>
          <w:p w14:paraId="4C5BF0A8">
            <w:pPr>
              <w:keepNext w:val="0"/>
              <w:keepLines w:val="0"/>
              <w:pageBreakBefore w:val="0"/>
              <w:kinsoku/>
              <w:wordWrap/>
              <w:overflowPunct/>
              <w:topLinePunct w:val="0"/>
              <w:autoSpaceDE/>
              <w:autoSpaceDN/>
              <w:bidi w:val="0"/>
              <w:adjustRightInd/>
              <w:snapToGrid/>
              <w:spacing w:line="590" w:lineRule="exact"/>
              <w:ind w:left="0" w:leftChars="0" w:firstLine="0" w:firstLineChars="0"/>
              <w:jc w:val="center"/>
              <w:rPr>
                <w:rFonts w:hint="default" w:ascii="Times New Roman" w:hAnsi="Times New Roman" w:eastAsia="方正仿宋_GBK" w:cs="Times New Roman"/>
                <w:b/>
                <w:bCs/>
                <w:color w:val="000000"/>
                <w:spacing w:val="-6"/>
                <w:sz w:val="32"/>
                <w:szCs w:val="32"/>
              </w:rPr>
            </w:pPr>
          </w:p>
        </w:tc>
        <w:tc>
          <w:tcPr>
            <w:tcW w:w="3975" w:type="dxa"/>
            <w:vMerge w:val="continue"/>
            <w:tcBorders>
              <w:top w:val="single" w:color="000000" w:sz="4" w:space="0"/>
              <w:left w:val="single" w:color="000000" w:sz="4" w:space="0"/>
              <w:bottom w:val="single" w:color="000000" w:sz="4" w:space="0"/>
              <w:right w:val="single" w:color="000000" w:sz="4" w:space="0"/>
            </w:tcBorders>
            <w:noWrap w:val="0"/>
            <w:vAlign w:val="center"/>
          </w:tcPr>
          <w:p w14:paraId="01F0B9BE">
            <w:pPr>
              <w:keepNext w:val="0"/>
              <w:keepLines w:val="0"/>
              <w:pageBreakBefore w:val="0"/>
              <w:kinsoku/>
              <w:wordWrap/>
              <w:overflowPunct/>
              <w:topLinePunct w:val="0"/>
              <w:autoSpaceDE/>
              <w:autoSpaceDN/>
              <w:bidi w:val="0"/>
              <w:adjustRightInd/>
              <w:snapToGrid/>
              <w:spacing w:line="590" w:lineRule="exact"/>
              <w:ind w:left="0" w:leftChars="0" w:firstLine="0" w:firstLineChars="0"/>
              <w:jc w:val="left"/>
              <w:rPr>
                <w:rFonts w:hint="default" w:ascii="Times New Roman" w:hAnsi="Times New Roman" w:eastAsia="方正仿宋_GBK" w:cs="Times New Roman"/>
                <w:color w:val="000000"/>
                <w:spacing w:val="-6"/>
                <w:sz w:val="32"/>
                <w:szCs w:val="32"/>
              </w:rPr>
            </w:pPr>
          </w:p>
        </w:tc>
        <w:tc>
          <w:tcPr>
            <w:tcW w:w="10110" w:type="dxa"/>
            <w:tcBorders>
              <w:top w:val="single" w:color="000000" w:sz="4" w:space="0"/>
              <w:left w:val="single" w:color="000000" w:sz="4" w:space="0"/>
              <w:bottom w:val="single" w:color="000000" w:sz="4" w:space="0"/>
              <w:right w:val="single" w:color="000000" w:sz="4" w:space="0"/>
            </w:tcBorders>
            <w:noWrap w:val="0"/>
            <w:vAlign w:val="center"/>
          </w:tcPr>
          <w:p w14:paraId="04B9C697">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《安徽省物业管理条例》第六十条  物业服务合同期限届满前九十日，业主委员会应当召集业主大会会议，讨论决定物业服务企业的聘用事宜。业主大会决定继续聘用的，应当与物业服务企业签订新的物业服务合同；业主大会决定不续聘的，应当及时告知物业服务企业。</w:t>
            </w:r>
          </w:p>
          <w:p w14:paraId="569BD2CF">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sz w:val="32"/>
                <w:szCs w:val="32"/>
              </w:rPr>
            </w:pPr>
            <w:r>
              <w:rPr>
                <w:rFonts w:hint="default" w:ascii="Times New Roman" w:hAnsi="Times New Roman" w:eastAsia="方正仿宋_GBK" w:cs="Times New Roman"/>
                <w:color w:val="000000"/>
                <w:spacing w:val="-6"/>
                <w:kern w:val="0"/>
                <w:sz w:val="32"/>
                <w:szCs w:val="32"/>
                <w:lang w:bidi="ar"/>
              </w:rPr>
              <w:t>提前解除物业服务合同的，提出解除合同的一方应当于六十日前书面告知合同另一方，在物业管理区域内显著位置公告，并书面告知所在地的县级人民政府物业管理行政主管部门、街道办事处或者乡镇人民政府。</w:t>
            </w:r>
          </w:p>
        </w:tc>
      </w:tr>
      <w:tr w14:paraId="44AD54BB">
        <w:tblPrEx>
          <w:tblCellMar>
            <w:top w:w="0" w:type="dxa"/>
            <w:left w:w="108" w:type="dxa"/>
            <w:bottom w:w="0" w:type="dxa"/>
            <w:right w:w="108" w:type="dxa"/>
          </w:tblCellMar>
        </w:tblPrEx>
        <w:trPr>
          <w:trHeight w:val="90" w:hRule="atLeast"/>
        </w:trPr>
        <w:tc>
          <w:tcPr>
            <w:tcW w:w="687" w:type="dxa"/>
            <w:vMerge w:val="continue"/>
            <w:tcBorders>
              <w:top w:val="single" w:color="000000" w:sz="4" w:space="0"/>
              <w:left w:val="single" w:color="000000" w:sz="4" w:space="0"/>
              <w:bottom w:val="single" w:color="000000" w:sz="4" w:space="0"/>
              <w:right w:val="single" w:color="000000" w:sz="4" w:space="0"/>
            </w:tcBorders>
            <w:noWrap/>
            <w:vAlign w:val="center"/>
          </w:tcPr>
          <w:p w14:paraId="025279E2">
            <w:pPr>
              <w:keepNext w:val="0"/>
              <w:keepLines w:val="0"/>
              <w:pageBreakBefore w:val="0"/>
              <w:kinsoku/>
              <w:wordWrap/>
              <w:overflowPunct/>
              <w:topLinePunct w:val="0"/>
              <w:autoSpaceDE/>
              <w:autoSpaceDN/>
              <w:bidi w:val="0"/>
              <w:adjustRightInd/>
              <w:snapToGrid/>
              <w:spacing w:line="590" w:lineRule="exact"/>
              <w:ind w:left="0" w:leftChars="0" w:firstLine="0" w:firstLineChars="0"/>
              <w:jc w:val="center"/>
              <w:rPr>
                <w:rFonts w:hint="default" w:ascii="Times New Roman" w:hAnsi="Times New Roman" w:eastAsia="方正仿宋_GBK" w:cs="Times New Roman"/>
                <w:b/>
                <w:bCs/>
                <w:color w:val="000000"/>
                <w:spacing w:val="-6"/>
                <w:sz w:val="32"/>
                <w:szCs w:val="32"/>
              </w:rPr>
            </w:pPr>
          </w:p>
        </w:tc>
        <w:tc>
          <w:tcPr>
            <w:tcW w:w="3975" w:type="dxa"/>
            <w:vMerge w:val="continue"/>
            <w:tcBorders>
              <w:top w:val="single" w:color="000000" w:sz="4" w:space="0"/>
              <w:left w:val="single" w:color="000000" w:sz="4" w:space="0"/>
              <w:bottom w:val="single" w:color="000000" w:sz="4" w:space="0"/>
              <w:right w:val="single" w:color="000000" w:sz="4" w:space="0"/>
            </w:tcBorders>
            <w:noWrap w:val="0"/>
            <w:vAlign w:val="center"/>
          </w:tcPr>
          <w:p w14:paraId="0CC908FE">
            <w:pPr>
              <w:keepNext w:val="0"/>
              <w:keepLines w:val="0"/>
              <w:pageBreakBefore w:val="0"/>
              <w:kinsoku/>
              <w:wordWrap/>
              <w:overflowPunct/>
              <w:topLinePunct w:val="0"/>
              <w:autoSpaceDE/>
              <w:autoSpaceDN/>
              <w:bidi w:val="0"/>
              <w:adjustRightInd/>
              <w:snapToGrid/>
              <w:spacing w:line="590" w:lineRule="exact"/>
              <w:ind w:left="0" w:leftChars="0" w:firstLine="0" w:firstLineChars="0"/>
              <w:jc w:val="left"/>
              <w:rPr>
                <w:rFonts w:hint="default" w:ascii="Times New Roman" w:hAnsi="Times New Roman" w:eastAsia="方正仿宋_GBK" w:cs="Times New Roman"/>
                <w:color w:val="000000"/>
                <w:spacing w:val="-6"/>
                <w:sz w:val="32"/>
                <w:szCs w:val="32"/>
              </w:rPr>
            </w:pPr>
          </w:p>
        </w:tc>
        <w:tc>
          <w:tcPr>
            <w:tcW w:w="10110" w:type="dxa"/>
            <w:tcBorders>
              <w:top w:val="single" w:color="000000" w:sz="4" w:space="0"/>
              <w:left w:val="single" w:color="000000" w:sz="4" w:space="0"/>
              <w:bottom w:val="single" w:color="000000" w:sz="4" w:space="0"/>
              <w:right w:val="single" w:color="000000" w:sz="4" w:space="0"/>
            </w:tcBorders>
            <w:noWrap w:val="0"/>
            <w:vAlign w:val="center"/>
          </w:tcPr>
          <w:p w14:paraId="0286F257">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《安徽省物业管理条例》第六十一条第一款、第二款  物业服务合同解除或者终止后，原物业服务企业应当在物业服务合同解除或者终止，并在新的物业服务企业选聘后十五日内退出，并按照法律、法规规定和合同约定，向业主委员会或者其他代管单位移交下列资料和财物：</w:t>
            </w:r>
          </w:p>
          <w:p w14:paraId="72AE52A7">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（一）移交本条例第五十条规定的材料；</w:t>
            </w:r>
          </w:p>
          <w:p w14:paraId="1F87026B">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（二）移交物业服务期间形成的有关物业及设施设备改造、维修、运行、保养的有关资料及物业服务档案；</w:t>
            </w:r>
          </w:p>
          <w:p w14:paraId="0E898B32">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（三）物业服务用房和物业共用部位、共用设施设备；</w:t>
            </w:r>
          </w:p>
          <w:p w14:paraId="3BED25CC">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（四）移交清算预收、代收的有关费用及相关账册、票据；</w:t>
            </w:r>
          </w:p>
          <w:p w14:paraId="499544CE">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（五）法律、法规规定的应当移交的其他事项。</w:t>
            </w:r>
          </w:p>
          <w:p w14:paraId="17447762">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sz w:val="32"/>
                <w:szCs w:val="32"/>
              </w:rPr>
            </w:pPr>
            <w:r>
              <w:rPr>
                <w:rFonts w:hint="default" w:ascii="Times New Roman" w:hAnsi="Times New Roman" w:eastAsia="方正仿宋_GBK" w:cs="Times New Roman"/>
                <w:color w:val="000000"/>
                <w:spacing w:val="-6"/>
                <w:kern w:val="0"/>
                <w:sz w:val="32"/>
                <w:szCs w:val="32"/>
                <w:lang w:bidi="ar"/>
              </w:rPr>
              <w:t>业主大会重新选聘物业服务企业后，业主委员会或者其他代管单位应当将前款所列资料和财物移交重新选聘的物业服务企业，原物业服务企业应当与新选聘的物业服务企业做好物业管理交接工作。</w:t>
            </w:r>
          </w:p>
        </w:tc>
      </w:tr>
      <w:tr w14:paraId="09EF3DA8">
        <w:tblPrEx>
          <w:tblCellMar>
            <w:top w:w="0" w:type="dxa"/>
            <w:left w:w="108" w:type="dxa"/>
            <w:bottom w:w="0" w:type="dxa"/>
            <w:right w:w="108" w:type="dxa"/>
          </w:tblCellMar>
        </w:tblPrEx>
        <w:trPr>
          <w:trHeight w:val="285" w:hRule="atLeast"/>
        </w:trPr>
        <w:tc>
          <w:tcPr>
            <w:tcW w:w="687" w:type="dxa"/>
            <w:vMerge w:val="continue"/>
            <w:tcBorders>
              <w:top w:val="single" w:color="000000" w:sz="4" w:space="0"/>
              <w:left w:val="single" w:color="000000" w:sz="4" w:space="0"/>
              <w:bottom w:val="single" w:color="000000" w:sz="4" w:space="0"/>
              <w:right w:val="single" w:color="000000" w:sz="4" w:space="0"/>
            </w:tcBorders>
            <w:noWrap/>
            <w:vAlign w:val="center"/>
          </w:tcPr>
          <w:p w14:paraId="324DCB94">
            <w:pPr>
              <w:keepNext w:val="0"/>
              <w:keepLines w:val="0"/>
              <w:pageBreakBefore w:val="0"/>
              <w:kinsoku/>
              <w:wordWrap/>
              <w:overflowPunct/>
              <w:topLinePunct w:val="0"/>
              <w:autoSpaceDE/>
              <w:autoSpaceDN/>
              <w:bidi w:val="0"/>
              <w:adjustRightInd/>
              <w:snapToGrid/>
              <w:spacing w:line="590" w:lineRule="exact"/>
              <w:ind w:left="0" w:leftChars="0" w:firstLine="0" w:firstLineChars="0"/>
              <w:jc w:val="center"/>
              <w:rPr>
                <w:rFonts w:hint="default" w:ascii="Times New Roman" w:hAnsi="Times New Roman" w:eastAsia="方正仿宋_GBK" w:cs="Times New Roman"/>
                <w:b/>
                <w:bCs/>
                <w:color w:val="000000"/>
                <w:spacing w:val="-6"/>
                <w:sz w:val="32"/>
                <w:szCs w:val="32"/>
              </w:rPr>
            </w:pPr>
          </w:p>
        </w:tc>
        <w:tc>
          <w:tcPr>
            <w:tcW w:w="3975" w:type="dxa"/>
            <w:vMerge w:val="continue"/>
            <w:tcBorders>
              <w:top w:val="single" w:color="000000" w:sz="4" w:space="0"/>
              <w:left w:val="single" w:color="000000" w:sz="4" w:space="0"/>
              <w:bottom w:val="single" w:color="000000" w:sz="4" w:space="0"/>
              <w:right w:val="single" w:color="000000" w:sz="4" w:space="0"/>
            </w:tcBorders>
            <w:noWrap w:val="0"/>
            <w:vAlign w:val="center"/>
          </w:tcPr>
          <w:p w14:paraId="208928F8">
            <w:pPr>
              <w:keepNext w:val="0"/>
              <w:keepLines w:val="0"/>
              <w:pageBreakBefore w:val="0"/>
              <w:kinsoku/>
              <w:wordWrap/>
              <w:overflowPunct/>
              <w:topLinePunct w:val="0"/>
              <w:autoSpaceDE/>
              <w:autoSpaceDN/>
              <w:bidi w:val="0"/>
              <w:adjustRightInd/>
              <w:snapToGrid/>
              <w:spacing w:line="590" w:lineRule="exact"/>
              <w:ind w:left="0" w:leftChars="0" w:firstLine="0" w:firstLineChars="0"/>
              <w:jc w:val="left"/>
              <w:rPr>
                <w:rFonts w:hint="default" w:ascii="Times New Roman" w:hAnsi="Times New Roman" w:eastAsia="方正仿宋_GBK" w:cs="Times New Roman"/>
                <w:color w:val="000000"/>
                <w:spacing w:val="-6"/>
                <w:sz w:val="32"/>
                <w:szCs w:val="32"/>
              </w:rPr>
            </w:pPr>
          </w:p>
        </w:tc>
        <w:tc>
          <w:tcPr>
            <w:tcW w:w="10110" w:type="dxa"/>
            <w:tcBorders>
              <w:top w:val="single" w:color="000000" w:sz="4" w:space="0"/>
              <w:left w:val="single" w:color="000000" w:sz="4" w:space="0"/>
              <w:bottom w:val="single" w:color="000000" w:sz="4" w:space="0"/>
              <w:right w:val="single" w:color="000000" w:sz="4" w:space="0"/>
            </w:tcBorders>
            <w:noWrap w:val="0"/>
            <w:vAlign w:val="center"/>
          </w:tcPr>
          <w:p w14:paraId="0FF07F59">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sz w:val="32"/>
                <w:szCs w:val="32"/>
              </w:rPr>
            </w:pPr>
            <w:r>
              <w:rPr>
                <w:rFonts w:hint="default" w:ascii="Times New Roman" w:hAnsi="Times New Roman" w:eastAsia="方正仿宋_GBK" w:cs="Times New Roman"/>
                <w:color w:val="000000"/>
                <w:spacing w:val="-6"/>
                <w:kern w:val="0"/>
                <w:sz w:val="32"/>
                <w:szCs w:val="32"/>
                <w:lang w:bidi="ar"/>
              </w:rPr>
              <w:t>《六安市物业管理条例》第二十六条第一款  业主委员会应当与业主大会选聘的物业服务企业订立书面物业服务合同。</w:t>
            </w:r>
          </w:p>
        </w:tc>
      </w:tr>
      <w:tr w14:paraId="664E52CB">
        <w:tblPrEx>
          <w:tblCellMar>
            <w:top w:w="0" w:type="dxa"/>
            <w:left w:w="108" w:type="dxa"/>
            <w:bottom w:w="0" w:type="dxa"/>
            <w:right w:w="108" w:type="dxa"/>
          </w:tblCellMar>
        </w:tblPrEx>
        <w:trPr>
          <w:trHeight w:val="570" w:hRule="atLeast"/>
        </w:trPr>
        <w:tc>
          <w:tcPr>
            <w:tcW w:w="687" w:type="dxa"/>
            <w:vMerge w:val="restart"/>
            <w:tcBorders>
              <w:top w:val="single" w:color="000000" w:sz="4" w:space="0"/>
              <w:left w:val="single" w:color="000000" w:sz="4" w:space="0"/>
              <w:bottom w:val="single" w:color="000000" w:sz="4" w:space="0"/>
              <w:right w:val="single" w:color="000000" w:sz="4" w:space="0"/>
            </w:tcBorders>
            <w:noWrap/>
            <w:vAlign w:val="center"/>
          </w:tcPr>
          <w:p w14:paraId="1A2ED815">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center"/>
              <w:textAlignment w:val="center"/>
              <w:rPr>
                <w:rFonts w:hint="default" w:ascii="Times New Roman" w:hAnsi="Times New Roman" w:eastAsia="方正仿宋_GBK" w:cs="Times New Roman"/>
                <w:b/>
                <w:bCs/>
                <w:color w:val="000000"/>
                <w:spacing w:val="-6"/>
                <w:sz w:val="32"/>
                <w:szCs w:val="32"/>
              </w:rPr>
            </w:pPr>
            <w:r>
              <w:rPr>
                <w:rFonts w:hint="eastAsia" w:ascii="方正楷体_GBK" w:hAnsi="方正楷体_GBK" w:eastAsia="方正楷体_GBK" w:cs="方正楷体_GBK"/>
                <w:b/>
                <w:bCs/>
                <w:color w:val="000000"/>
                <w:spacing w:val="-6"/>
                <w:kern w:val="0"/>
                <w:sz w:val="30"/>
                <w:szCs w:val="30"/>
                <w:lang w:eastAsia="zh-CN" w:bidi="ar"/>
              </w:rPr>
              <w:t>十</w:t>
            </w:r>
            <w:r>
              <w:rPr>
                <w:rFonts w:hint="default" w:ascii="方正楷体_GBK" w:hAnsi="方正楷体_GBK" w:eastAsia="方正楷体_GBK" w:cs="方正楷体_GBK"/>
                <w:b/>
                <w:bCs/>
                <w:color w:val="000000"/>
                <w:spacing w:val="-6"/>
                <w:kern w:val="0"/>
                <w:sz w:val="30"/>
                <w:szCs w:val="30"/>
                <w:lang w:eastAsia="zh-CN" w:bidi="ar"/>
              </w:rPr>
              <w:t>、维修资金管理</w:t>
            </w:r>
          </w:p>
        </w:tc>
        <w:tc>
          <w:tcPr>
            <w:tcW w:w="3975" w:type="dxa"/>
            <w:vMerge w:val="restart"/>
            <w:tcBorders>
              <w:top w:val="single" w:color="000000" w:sz="4" w:space="0"/>
              <w:left w:val="single" w:color="000000" w:sz="4" w:space="0"/>
              <w:bottom w:val="single" w:color="000000" w:sz="4" w:space="0"/>
              <w:right w:val="single" w:color="000000" w:sz="4" w:space="0"/>
            </w:tcBorders>
            <w:noWrap w:val="0"/>
            <w:vAlign w:val="center"/>
          </w:tcPr>
          <w:p w14:paraId="5D162A97">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（一）业主委员会应当查询物业专项维修资金交存的业主名单和金额，每半年向业主公示物业专项维修资金收取、使用和管理等情况，接受业主的监督；</w:t>
            </w:r>
          </w:p>
          <w:p w14:paraId="6D891FD0">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（二）业主委员会应当拟定物业专项维修资金续筹的标准和方案，并具体实施；</w:t>
            </w:r>
          </w:p>
          <w:p w14:paraId="476EB16C">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（三）业主委员会应当督促未交存物业专项维修资金的业主依法交存；</w:t>
            </w:r>
          </w:p>
          <w:p w14:paraId="3253A4D6">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（四）业主委员会应当负责物业专项维修资金账户的账目管理；</w:t>
            </w:r>
          </w:p>
          <w:p w14:paraId="3B299ADD">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sz w:val="32"/>
                <w:szCs w:val="32"/>
              </w:rPr>
            </w:pPr>
            <w:r>
              <w:rPr>
                <w:rFonts w:hint="default" w:ascii="Times New Roman" w:hAnsi="Times New Roman" w:eastAsia="方正仿宋_GBK" w:cs="Times New Roman"/>
                <w:color w:val="000000"/>
                <w:spacing w:val="-6"/>
                <w:kern w:val="0"/>
                <w:sz w:val="32"/>
                <w:szCs w:val="32"/>
                <w:lang w:bidi="ar"/>
              </w:rPr>
              <w:t>（五）业主委员会应当按照年度提出物业专项维修资金使用计划，对物业共用部位、共用设施设备进行维修和更新、改造的。</w:t>
            </w:r>
          </w:p>
        </w:tc>
        <w:tc>
          <w:tcPr>
            <w:tcW w:w="10110" w:type="dxa"/>
            <w:tcBorders>
              <w:top w:val="single" w:color="000000" w:sz="4" w:space="0"/>
              <w:left w:val="single" w:color="000000" w:sz="4" w:space="0"/>
              <w:bottom w:val="single" w:color="000000" w:sz="4" w:space="0"/>
              <w:right w:val="single" w:color="000000" w:sz="4" w:space="0"/>
            </w:tcBorders>
            <w:noWrap w:val="0"/>
            <w:vAlign w:val="center"/>
          </w:tcPr>
          <w:p w14:paraId="12ACFF76">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sz w:val="32"/>
                <w:szCs w:val="32"/>
              </w:rPr>
            </w:pPr>
            <w:r>
              <w:rPr>
                <w:rFonts w:hint="default" w:ascii="Times New Roman" w:hAnsi="Times New Roman" w:eastAsia="方正仿宋_GBK" w:cs="Times New Roman"/>
                <w:color w:val="000000"/>
                <w:spacing w:val="-6"/>
                <w:kern w:val="0"/>
                <w:sz w:val="32"/>
                <w:szCs w:val="32"/>
                <w:lang w:bidi="ar"/>
              </w:rPr>
              <w:t>《安徽省物业管理条例》第八十五条第二款  业主交存的专项维修资金属于业主所有，专项用于物业保修期满后物业共用部位和共用设施设备的维修、更新、改造，不得挪作他用。设区的市、县级人民政府物业管理行政主管部门、业主委员会应当按照国家规定每年至少一次向业主公布专项维修资金的交存、使用、增值、结存等情况。</w:t>
            </w:r>
          </w:p>
        </w:tc>
      </w:tr>
      <w:tr w14:paraId="6ADEC37F">
        <w:tblPrEx>
          <w:tblCellMar>
            <w:top w:w="0" w:type="dxa"/>
            <w:left w:w="108" w:type="dxa"/>
            <w:bottom w:w="0" w:type="dxa"/>
            <w:right w:w="108" w:type="dxa"/>
          </w:tblCellMar>
        </w:tblPrEx>
        <w:trPr>
          <w:trHeight w:val="1710" w:hRule="atLeast"/>
        </w:trPr>
        <w:tc>
          <w:tcPr>
            <w:tcW w:w="687" w:type="dxa"/>
            <w:vMerge w:val="continue"/>
            <w:tcBorders>
              <w:top w:val="single" w:color="000000" w:sz="4" w:space="0"/>
              <w:left w:val="single" w:color="000000" w:sz="4" w:space="0"/>
              <w:bottom w:val="single" w:color="000000" w:sz="4" w:space="0"/>
              <w:right w:val="single" w:color="000000" w:sz="4" w:space="0"/>
            </w:tcBorders>
            <w:noWrap/>
            <w:vAlign w:val="center"/>
          </w:tcPr>
          <w:p w14:paraId="66BEEC6E">
            <w:pPr>
              <w:keepNext w:val="0"/>
              <w:keepLines w:val="0"/>
              <w:pageBreakBefore w:val="0"/>
              <w:kinsoku/>
              <w:wordWrap/>
              <w:overflowPunct/>
              <w:topLinePunct w:val="0"/>
              <w:autoSpaceDE/>
              <w:autoSpaceDN/>
              <w:bidi w:val="0"/>
              <w:adjustRightInd/>
              <w:snapToGrid/>
              <w:spacing w:line="590" w:lineRule="exact"/>
              <w:ind w:left="0" w:leftChars="0" w:firstLine="0" w:firstLineChars="0"/>
              <w:jc w:val="center"/>
              <w:rPr>
                <w:rFonts w:hint="default" w:ascii="Times New Roman" w:hAnsi="Times New Roman" w:eastAsia="方正仿宋_GBK" w:cs="Times New Roman"/>
                <w:b/>
                <w:bCs/>
                <w:color w:val="000000"/>
                <w:spacing w:val="-6"/>
                <w:sz w:val="32"/>
                <w:szCs w:val="32"/>
              </w:rPr>
            </w:pPr>
          </w:p>
        </w:tc>
        <w:tc>
          <w:tcPr>
            <w:tcW w:w="3975" w:type="dxa"/>
            <w:vMerge w:val="continue"/>
            <w:tcBorders>
              <w:top w:val="single" w:color="000000" w:sz="4" w:space="0"/>
              <w:left w:val="single" w:color="000000" w:sz="4" w:space="0"/>
              <w:bottom w:val="single" w:color="000000" w:sz="4" w:space="0"/>
              <w:right w:val="single" w:color="000000" w:sz="4" w:space="0"/>
            </w:tcBorders>
            <w:noWrap w:val="0"/>
            <w:vAlign w:val="center"/>
          </w:tcPr>
          <w:p w14:paraId="4DED049A">
            <w:pPr>
              <w:keepNext w:val="0"/>
              <w:keepLines w:val="0"/>
              <w:pageBreakBefore w:val="0"/>
              <w:kinsoku/>
              <w:wordWrap/>
              <w:overflowPunct/>
              <w:topLinePunct w:val="0"/>
              <w:autoSpaceDE/>
              <w:autoSpaceDN/>
              <w:bidi w:val="0"/>
              <w:adjustRightInd/>
              <w:snapToGrid/>
              <w:spacing w:line="590" w:lineRule="exact"/>
              <w:ind w:left="0" w:leftChars="0" w:firstLine="0" w:firstLineChars="0"/>
              <w:jc w:val="left"/>
              <w:rPr>
                <w:rFonts w:hint="default" w:ascii="Times New Roman" w:hAnsi="Times New Roman" w:eastAsia="方正仿宋_GBK" w:cs="Times New Roman"/>
                <w:color w:val="000000"/>
                <w:spacing w:val="-6"/>
                <w:sz w:val="32"/>
                <w:szCs w:val="32"/>
              </w:rPr>
            </w:pPr>
          </w:p>
        </w:tc>
        <w:tc>
          <w:tcPr>
            <w:tcW w:w="10110" w:type="dxa"/>
            <w:tcBorders>
              <w:top w:val="single" w:color="000000" w:sz="4" w:space="0"/>
              <w:left w:val="single" w:color="000000" w:sz="4" w:space="0"/>
              <w:bottom w:val="single" w:color="000000" w:sz="4" w:space="0"/>
              <w:right w:val="single" w:color="000000" w:sz="4" w:space="0"/>
            </w:tcBorders>
            <w:noWrap w:val="0"/>
            <w:vAlign w:val="center"/>
          </w:tcPr>
          <w:p w14:paraId="5F946C70">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《住宅专项维修资金管理办法》第三十条第一款  直辖市、市、县人民政府建设（房地产）主管部门，负责管理公有住房住宅专项维修资金的部门及业主委员会，应当每年至少一次与专户管理银行核对住宅专项维修资金账目，并向业主、公有住房售房单位公布下列情况：</w:t>
            </w:r>
          </w:p>
          <w:p w14:paraId="71783D7E">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（一）住宅专项维修资金交存、使用、增值收益和结存的总额；</w:t>
            </w:r>
          </w:p>
          <w:p w14:paraId="78D8EBF5">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（二）发生列支的项目、费用和分摊情况；</w:t>
            </w:r>
          </w:p>
          <w:p w14:paraId="28FB0F09">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（三）业主、公有住房售房单位分户账中住宅专项维修资金交存、使用、增值收益和结存的金额；</w:t>
            </w:r>
          </w:p>
          <w:p w14:paraId="7CBBC7D6">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sz w:val="32"/>
                <w:szCs w:val="32"/>
              </w:rPr>
            </w:pPr>
            <w:r>
              <w:rPr>
                <w:rFonts w:hint="default" w:ascii="Times New Roman" w:hAnsi="Times New Roman" w:eastAsia="方正仿宋_GBK" w:cs="Times New Roman"/>
                <w:color w:val="000000"/>
                <w:spacing w:val="-6"/>
                <w:kern w:val="0"/>
                <w:sz w:val="32"/>
                <w:szCs w:val="32"/>
                <w:lang w:bidi="ar"/>
              </w:rPr>
              <w:t>（四）其他有关住宅专项维修资金使用和管理的情况。</w:t>
            </w:r>
          </w:p>
        </w:tc>
      </w:tr>
      <w:tr w14:paraId="1A236DF6">
        <w:tblPrEx>
          <w:tblCellMar>
            <w:top w:w="0" w:type="dxa"/>
            <w:left w:w="108" w:type="dxa"/>
            <w:bottom w:w="0" w:type="dxa"/>
            <w:right w:w="108" w:type="dxa"/>
          </w:tblCellMar>
        </w:tblPrEx>
        <w:trPr>
          <w:trHeight w:val="285" w:hRule="atLeast"/>
        </w:trPr>
        <w:tc>
          <w:tcPr>
            <w:tcW w:w="687" w:type="dxa"/>
            <w:vMerge w:val="continue"/>
            <w:tcBorders>
              <w:top w:val="single" w:color="000000" w:sz="4" w:space="0"/>
              <w:left w:val="single" w:color="000000" w:sz="4" w:space="0"/>
              <w:bottom w:val="single" w:color="000000" w:sz="4" w:space="0"/>
              <w:right w:val="single" w:color="000000" w:sz="4" w:space="0"/>
            </w:tcBorders>
            <w:noWrap/>
            <w:vAlign w:val="center"/>
          </w:tcPr>
          <w:p w14:paraId="0EB9DD1D">
            <w:pPr>
              <w:keepNext w:val="0"/>
              <w:keepLines w:val="0"/>
              <w:pageBreakBefore w:val="0"/>
              <w:kinsoku/>
              <w:wordWrap/>
              <w:overflowPunct/>
              <w:topLinePunct w:val="0"/>
              <w:autoSpaceDE/>
              <w:autoSpaceDN/>
              <w:bidi w:val="0"/>
              <w:adjustRightInd/>
              <w:snapToGrid/>
              <w:spacing w:line="590" w:lineRule="exact"/>
              <w:ind w:left="0" w:leftChars="0" w:firstLine="0" w:firstLineChars="0"/>
              <w:jc w:val="center"/>
              <w:rPr>
                <w:rFonts w:hint="default" w:ascii="Times New Roman" w:hAnsi="Times New Roman" w:eastAsia="方正仿宋_GBK" w:cs="Times New Roman"/>
                <w:b/>
                <w:bCs/>
                <w:color w:val="000000"/>
                <w:spacing w:val="-6"/>
                <w:sz w:val="32"/>
                <w:szCs w:val="32"/>
              </w:rPr>
            </w:pPr>
          </w:p>
        </w:tc>
        <w:tc>
          <w:tcPr>
            <w:tcW w:w="3975" w:type="dxa"/>
            <w:vMerge w:val="continue"/>
            <w:tcBorders>
              <w:top w:val="single" w:color="000000" w:sz="4" w:space="0"/>
              <w:left w:val="single" w:color="000000" w:sz="4" w:space="0"/>
              <w:bottom w:val="single" w:color="000000" w:sz="4" w:space="0"/>
              <w:right w:val="single" w:color="000000" w:sz="4" w:space="0"/>
            </w:tcBorders>
            <w:noWrap w:val="0"/>
            <w:vAlign w:val="center"/>
          </w:tcPr>
          <w:p w14:paraId="58AA719A">
            <w:pPr>
              <w:keepNext w:val="0"/>
              <w:keepLines w:val="0"/>
              <w:pageBreakBefore w:val="0"/>
              <w:kinsoku/>
              <w:wordWrap/>
              <w:overflowPunct/>
              <w:topLinePunct w:val="0"/>
              <w:autoSpaceDE/>
              <w:autoSpaceDN/>
              <w:bidi w:val="0"/>
              <w:adjustRightInd/>
              <w:snapToGrid/>
              <w:spacing w:line="590" w:lineRule="exact"/>
              <w:ind w:left="0" w:leftChars="0" w:firstLine="0" w:firstLineChars="0"/>
              <w:jc w:val="left"/>
              <w:rPr>
                <w:rFonts w:hint="default" w:ascii="Times New Roman" w:hAnsi="Times New Roman" w:eastAsia="方正仿宋_GBK" w:cs="Times New Roman"/>
                <w:color w:val="000000"/>
                <w:spacing w:val="-6"/>
                <w:sz w:val="32"/>
                <w:szCs w:val="32"/>
              </w:rPr>
            </w:pPr>
          </w:p>
        </w:tc>
        <w:tc>
          <w:tcPr>
            <w:tcW w:w="10110" w:type="dxa"/>
            <w:tcBorders>
              <w:top w:val="single" w:color="000000" w:sz="4" w:space="0"/>
              <w:left w:val="single" w:color="000000" w:sz="4" w:space="0"/>
              <w:bottom w:val="single" w:color="000000" w:sz="4" w:space="0"/>
              <w:right w:val="single" w:color="000000" w:sz="4" w:space="0"/>
            </w:tcBorders>
            <w:noWrap w:val="0"/>
            <w:vAlign w:val="center"/>
          </w:tcPr>
          <w:p w14:paraId="61EF9EEA">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sz w:val="32"/>
                <w:szCs w:val="32"/>
              </w:rPr>
            </w:pPr>
            <w:r>
              <w:rPr>
                <w:rFonts w:hint="default" w:ascii="Times New Roman" w:hAnsi="Times New Roman" w:eastAsia="方正仿宋_GBK" w:cs="Times New Roman"/>
                <w:color w:val="000000"/>
                <w:spacing w:val="-6"/>
                <w:kern w:val="0"/>
                <w:sz w:val="32"/>
                <w:szCs w:val="32"/>
                <w:lang w:bidi="ar"/>
              </w:rPr>
              <w:t>《安徽省物业专项维修资金管理暂行办法》第九条第二款  物业专项维修资金续筹的标准和方案由业主委员会拟定，提交业主大会决定后，由业主委员会具体实施。</w:t>
            </w:r>
          </w:p>
        </w:tc>
      </w:tr>
      <w:tr w14:paraId="4BF44113">
        <w:tblPrEx>
          <w:tblCellMar>
            <w:top w:w="0" w:type="dxa"/>
            <w:left w:w="108" w:type="dxa"/>
            <w:bottom w:w="0" w:type="dxa"/>
            <w:right w:w="108" w:type="dxa"/>
          </w:tblCellMar>
        </w:tblPrEx>
        <w:trPr>
          <w:trHeight w:val="855" w:hRule="atLeast"/>
        </w:trPr>
        <w:tc>
          <w:tcPr>
            <w:tcW w:w="687" w:type="dxa"/>
            <w:vMerge w:val="continue"/>
            <w:tcBorders>
              <w:top w:val="single" w:color="000000" w:sz="4" w:space="0"/>
              <w:left w:val="single" w:color="000000" w:sz="4" w:space="0"/>
              <w:bottom w:val="single" w:color="000000" w:sz="4" w:space="0"/>
              <w:right w:val="single" w:color="000000" w:sz="4" w:space="0"/>
            </w:tcBorders>
            <w:noWrap/>
            <w:vAlign w:val="center"/>
          </w:tcPr>
          <w:p w14:paraId="4F06EA36">
            <w:pPr>
              <w:keepNext w:val="0"/>
              <w:keepLines w:val="0"/>
              <w:pageBreakBefore w:val="0"/>
              <w:kinsoku/>
              <w:wordWrap/>
              <w:overflowPunct/>
              <w:topLinePunct w:val="0"/>
              <w:autoSpaceDE/>
              <w:autoSpaceDN/>
              <w:bidi w:val="0"/>
              <w:adjustRightInd/>
              <w:snapToGrid/>
              <w:spacing w:line="590" w:lineRule="exact"/>
              <w:ind w:left="0" w:leftChars="0" w:firstLine="0" w:firstLineChars="0"/>
              <w:jc w:val="center"/>
              <w:rPr>
                <w:rFonts w:hint="default" w:ascii="Times New Roman" w:hAnsi="Times New Roman" w:eastAsia="方正仿宋_GBK" w:cs="Times New Roman"/>
                <w:b/>
                <w:bCs/>
                <w:color w:val="000000"/>
                <w:spacing w:val="-6"/>
                <w:sz w:val="32"/>
                <w:szCs w:val="32"/>
              </w:rPr>
            </w:pPr>
          </w:p>
        </w:tc>
        <w:tc>
          <w:tcPr>
            <w:tcW w:w="3975" w:type="dxa"/>
            <w:vMerge w:val="continue"/>
            <w:tcBorders>
              <w:top w:val="single" w:color="000000" w:sz="4" w:space="0"/>
              <w:left w:val="single" w:color="000000" w:sz="4" w:space="0"/>
              <w:bottom w:val="single" w:color="000000" w:sz="4" w:space="0"/>
              <w:right w:val="single" w:color="000000" w:sz="4" w:space="0"/>
            </w:tcBorders>
            <w:noWrap w:val="0"/>
            <w:vAlign w:val="center"/>
          </w:tcPr>
          <w:p w14:paraId="1C038523">
            <w:pPr>
              <w:keepNext w:val="0"/>
              <w:keepLines w:val="0"/>
              <w:pageBreakBefore w:val="0"/>
              <w:kinsoku/>
              <w:wordWrap/>
              <w:overflowPunct/>
              <w:topLinePunct w:val="0"/>
              <w:autoSpaceDE/>
              <w:autoSpaceDN/>
              <w:bidi w:val="0"/>
              <w:adjustRightInd/>
              <w:snapToGrid/>
              <w:spacing w:line="590" w:lineRule="exact"/>
              <w:ind w:left="0" w:leftChars="0" w:firstLine="0" w:firstLineChars="0"/>
              <w:jc w:val="left"/>
              <w:rPr>
                <w:rFonts w:hint="default" w:ascii="Times New Roman" w:hAnsi="Times New Roman" w:eastAsia="方正仿宋_GBK" w:cs="Times New Roman"/>
                <w:color w:val="000000"/>
                <w:spacing w:val="-6"/>
                <w:sz w:val="32"/>
                <w:szCs w:val="32"/>
              </w:rPr>
            </w:pPr>
          </w:p>
        </w:tc>
        <w:tc>
          <w:tcPr>
            <w:tcW w:w="10110" w:type="dxa"/>
            <w:tcBorders>
              <w:top w:val="single" w:color="000000" w:sz="4" w:space="0"/>
              <w:left w:val="single" w:color="000000" w:sz="4" w:space="0"/>
              <w:bottom w:val="single" w:color="000000" w:sz="4" w:space="0"/>
              <w:right w:val="single" w:color="000000" w:sz="4" w:space="0"/>
            </w:tcBorders>
            <w:noWrap w:val="0"/>
            <w:vAlign w:val="center"/>
          </w:tcPr>
          <w:p w14:paraId="35DFF3F8">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《安徽省物业专项维修资金管理暂行办法》第十二条  业主大会成立后，业主委员会应当到所在地市、县人民政府房地产行政主管部门查询所在物业管理区域内交存物业专项维修资金的业主名单和金额，并在物业管理区域内公示。</w:t>
            </w:r>
          </w:p>
          <w:p w14:paraId="5FD53529">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sz w:val="32"/>
                <w:szCs w:val="32"/>
              </w:rPr>
            </w:pPr>
            <w:r>
              <w:rPr>
                <w:rFonts w:hint="default" w:ascii="Times New Roman" w:hAnsi="Times New Roman" w:eastAsia="方正仿宋_GBK" w:cs="Times New Roman"/>
                <w:color w:val="000000"/>
                <w:spacing w:val="-6"/>
                <w:kern w:val="0"/>
                <w:sz w:val="32"/>
                <w:szCs w:val="32"/>
                <w:lang w:bidi="ar"/>
              </w:rPr>
              <w:t>逾期仍未交存的，业主委员会可以向人民法院起诉。</w:t>
            </w:r>
          </w:p>
        </w:tc>
      </w:tr>
      <w:tr w14:paraId="557EFA76">
        <w:tblPrEx>
          <w:tblCellMar>
            <w:top w:w="0" w:type="dxa"/>
            <w:left w:w="108" w:type="dxa"/>
            <w:bottom w:w="0" w:type="dxa"/>
            <w:right w:w="108" w:type="dxa"/>
          </w:tblCellMar>
        </w:tblPrEx>
        <w:trPr>
          <w:trHeight w:val="285" w:hRule="atLeast"/>
        </w:trPr>
        <w:tc>
          <w:tcPr>
            <w:tcW w:w="687" w:type="dxa"/>
            <w:vMerge w:val="continue"/>
            <w:tcBorders>
              <w:top w:val="single" w:color="000000" w:sz="4" w:space="0"/>
              <w:left w:val="single" w:color="000000" w:sz="4" w:space="0"/>
              <w:bottom w:val="single" w:color="000000" w:sz="4" w:space="0"/>
              <w:right w:val="single" w:color="000000" w:sz="4" w:space="0"/>
            </w:tcBorders>
            <w:noWrap/>
            <w:vAlign w:val="center"/>
          </w:tcPr>
          <w:p w14:paraId="6291715C">
            <w:pPr>
              <w:keepNext w:val="0"/>
              <w:keepLines w:val="0"/>
              <w:pageBreakBefore w:val="0"/>
              <w:kinsoku/>
              <w:wordWrap/>
              <w:overflowPunct/>
              <w:topLinePunct w:val="0"/>
              <w:autoSpaceDE/>
              <w:autoSpaceDN/>
              <w:bidi w:val="0"/>
              <w:adjustRightInd/>
              <w:snapToGrid/>
              <w:spacing w:line="590" w:lineRule="exact"/>
              <w:ind w:left="0" w:leftChars="0" w:firstLine="0" w:firstLineChars="0"/>
              <w:jc w:val="center"/>
              <w:rPr>
                <w:rFonts w:hint="default" w:ascii="Times New Roman" w:hAnsi="Times New Roman" w:eastAsia="方正仿宋_GBK" w:cs="Times New Roman"/>
                <w:b/>
                <w:bCs/>
                <w:color w:val="000000"/>
                <w:spacing w:val="-6"/>
                <w:sz w:val="32"/>
                <w:szCs w:val="32"/>
              </w:rPr>
            </w:pPr>
          </w:p>
        </w:tc>
        <w:tc>
          <w:tcPr>
            <w:tcW w:w="3975" w:type="dxa"/>
            <w:vMerge w:val="continue"/>
            <w:tcBorders>
              <w:top w:val="single" w:color="000000" w:sz="4" w:space="0"/>
              <w:left w:val="single" w:color="000000" w:sz="4" w:space="0"/>
              <w:bottom w:val="single" w:color="000000" w:sz="4" w:space="0"/>
              <w:right w:val="single" w:color="000000" w:sz="4" w:space="0"/>
            </w:tcBorders>
            <w:noWrap w:val="0"/>
            <w:vAlign w:val="center"/>
          </w:tcPr>
          <w:p w14:paraId="7198BD08">
            <w:pPr>
              <w:keepNext w:val="0"/>
              <w:keepLines w:val="0"/>
              <w:pageBreakBefore w:val="0"/>
              <w:kinsoku/>
              <w:wordWrap/>
              <w:overflowPunct/>
              <w:topLinePunct w:val="0"/>
              <w:autoSpaceDE/>
              <w:autoSpaceDN/>
              <w:bidi w:val="0"/>
              <w:adjustRightInd/>
              <w:snapToGrid/>
              <w:spacing w:line="590" w:lineRule="exact"/>
              <w:ind w:left="0" w:leftChars="0" w:firstLine="0" w:firstLineChars="0"/>
              <w:jc w:val="left"/>
              <w:rPr>
                <w:rFonts w:hint="default" w:ascii="Times New Roman" w:hAnsi="Times New Roman" w:eastAsia="方正仿宋_GBK" w:cs="Times New Roman"/>
                <w:color w:val="000000"/>
                <w:spacing w:val="-6"/>
                <w:sz w:val="32"/>
                <w:szCs w:val="32"/>
              </w:rPr>
            </w:pPr>
          </w:p>
        </w:tc>
        <w:tc>
          <w:tcPr>
            <w:tcW w:w="10110" w:type="dxa"/>
            <w:tcBorders>
              <w:top w:val="single" w:color="000000" w:sz="4" w:space="0"/>
              <w:left w:val="single" w:color="000000" w:sz="4" w:space="0"/>
              <w:bottom w:val="single" w:color="000000" w:sz="4" w:space="0"/>
              <w:right w:val="single" w:color="000000" w:sz="4" w:space="0"/>
            </w:tcBorders>
            <w:noWrap/>
            <w:vAlign w:val="center"/>
          </w:tcPr>
          <w:p w14:paraId="764345D8">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sz w:val="32"/>
                <w:szCs w:val="32"/>
              </w:rPr>
            </w:pPr>
            <w:r>
              <w:rPr>
                <w:rFonts w:hint="default" w:ascii="Times New Roman" w:hAnsi="Times New Roman" w:eastAsia="方正仿宋_GBK" w:cs="Times New Roman"/>
                <w:color w:val="000000"/>
                <w:spacing w:val="-6"/>
                <w:kern w:val="0"/>
                <w:sz w:val="32"/>
                <w:szCs w:val="32"/>
                <w:lang w:bidi="ar"/>
              </w:rPr>
              <w:t>《安徽省物业专项维修资金管理暂行办法》第十三条  物业专项维修资金账户的账目管理，由业主委员会负责，业主委员会可以委托物业服务企业负责具体管理。</w:t>
            </w:r>
          </w:p>
        </w:tc>
      </w:tr>
      <w:tr w14:paraId="01E0E460">
        <w:tblPrEx>
          <w:tblCellMar>
            <w:top w:w="0" w:type="dxa"/>
            <w:left w:w="108" w:type="dxa"/>
            <w:bottom w:w="0" w:type="dxa"/>
            <w:right w:w="108" w:type="dxa"/>
          </w:tblCellMar>
        </w:tblPrEx>
        <w:trPr>
          <w:trHeight w:val="1140" w:hRule="atLeast"/>
        </w:trPr>
        <w:tc>
          <w:tcPr>
            <w:tcW w:w="687" w:type="dxa"/>
            <w:vMerge w:val="continue"/>
            <w:tcBorders>
              <w:top w:val="single" w:color="000000" w:sz="4" w:space="0"/>
              <w:left w:val="single" w:color="000000" w:sz="4" w:space="0"/>
              <w:bottom w:val="single" w:color="000000" w:sz="4" w:space="0"/>
              <w:right w:val="single" w:color="000000" w:sz="4" w:space="0"/>
            </w:tcBorders>
            <w:noWrap/>
            <w:vAlign w:val="center"/>
          </w:tcPr>
          <w:p w14:paraId="4014E1F2">
            <w:pPr>
              <w:keepNext w:val="0"/>
              <w:keepLines w:val="0"/>
              <w:pageBreakBefore w:val="0"/>
              <w:kinsoku/>
              <w:wordWrap/>
              <w:overflowPunct/>
              <w:topLinePunct w:val="0"/>
              <w:autoSpaceDE/>
              <w:autoSpaceDN/>
              <w:bidi w:val="0"/>
              <w:adjustRightInd/>
              <w:snapToGrid/>
              <w:spacing w:line="590" w:lineRule="exact"/>
              <w:ind w:left="0" w:leftChars="0" w:firstLine="0" w:firstLineChars="0"/>
              <w:jc w:val="center"/>
              <w:rPr>
                <w:rFonts w:hint="default" w:ascii="Times New Roman" w:hAnsi="Times New Roman" w:eastAsia="方正仿宋_GBK" w:cs="Times New Roman"/>
                <w:b/>
                <w:bCs/>
                <w:color w:val="000000"/>
                <w:spacing w:val="-6"/>
                <w:sz w:val="32"/>
                <w:szCs w:val="32"/>
              </w:rPr>
            </w:pPr>
          </w:p>
        </w:tc>
        <w:tc>
          <w:tcPr>
            <w:tcW w:w="3975" w:type="dxa"/>
            <w:vMerge w:val="continue"/>
            <w:tcBorders>
              <w:top w:val="single" w:color="000000" w:sz="4" w:space="0"/>
              <w:left w:val="single" w:color="000000" w:sz="4" w:space="0"/>
              <w:bottom w:val="single" w:color="000000" w:sz="4" w:space="0"/>
              <w:right w:val="single" w:color="000000" w:sz="4" w:space="0"/>
            </w:tcBorders>
            <w:noWrap w:val="0"/>
            <w:vAlign w:val="center"/>
          </w:tcPr>
          <w:p w14:paraId="32195B76">
            <w:pPr>
              <w:keepNext w:val="0"/>
              <w:keepLines w:val="0"/>
              <w:pageBreakBefore w:val="0"/>
              <w:kinsoku/>
              <w:wordWrap/>
              <w:overflowPunct/>
              <w:topLinePunct w:val="0"/>
              <w:autoSpaceDE/>
              <w:autoSpaceDN/>
              <w:bidi w:val="0"/>
              <w:adjustRightInd/>
              <w:snapToGrid/>
              <w:spacing w:line="590" w:lineRule="exact"/>
              <w:ind w:left="0" w:leftChars="0" w:firstLine="0" w:firstLineChars="0"/>
              <w:jc w:val="left"/>
              <w:rPr>
                <w:rFonts w:hint="default" w:ascii="Times New Roman" w:hAnsi="Times New Roman" w:eastAsia="方正仿宋_GBK" w:cs="Times New Roman"/>
                <w:color w:val="000000"/>
                <w:spacing w:val="-6"/>
                <w:sz w:val="32"/>
                <w:szCs w:val="32"/>
              </w:rPr>
            </w:pPr>
          </w:p>
        </w:tc>
        <w:tc>
          <w:tcPr>
            <w:tcW w:w="10110" w:type="dxa"/>
            <w:tcBorders>
              <w:top w:val="single" w:color="000000" w:sz="4" w:space="0"/>
              <w:left w:val="single" w:color="000000" w:sz="4" w:space="0"/>
              <w:bottom w:val="single" w:color="000000" w:sz="4" w:space="0"/>
              <w:right w:val="single" w:color="000000" w:sz="4" w:space="0"/>
            </w:tcBorders>
            <w:noWrap w:val="0"/>
            <w:vAlign w:val="center"/>
          </w:tcPr>
          <w:p w14:paraId="319CE8D1">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《安徽省物业专项维修资金管理暂行办法》第十九条第一款  使用物业专项维修资金应当遵循下列程序：</w:t>
            </w:r>
          </w:p>
          <w:p w14:paraId="6D642D6D">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sz w:val="32"/>
                <w:szCs w:val="32"/>
              </w:rPr>
            </w:pPr>
            <w:r>
              <w:rPr>
                <w:rFonts w:hint="default" w:ascii="Times New Roman" w:hAnsi="Times New Roman" w:eastAsia="方正仿宋_GBK" w:cs="Times New Roman"/>
                <w:color w:val="000000"/>
                <w:spacing w:val="-6"/>
                <w:kern w:val="0"/>
                <w:sz w:val="32"/>
                <w:szCs w:val="32"/>
                <w:lang w:bidi="ar"/>
              </w:rPr>
              <w:t>（一）实施物业管理并已经成立业主大会，对全体业主共有的物业共用部位、共用设施设备进行维修和更新、改造的，由业主委员会按照年度提出物业专项维修资金使用计划，经专有部分占建筑物总面积 2/3 以上的业主且占总人数 2/3 以上的业主通过后实施；对部分业主共有的物业共用部位、共用设施设备进行维修和更新、改造的，由业主委员会按照年度提出物业专项维修资金使用计划，经具有共有关系的业主专有部分占建筑物总面积2/3 以上且占总人数 2/3 以上通过后实施；</w:t>
            </w:r>
          </w:p>
        </w:tc>
      </w:tr>
      <w:tr w14:paraId="03DE73AF">
        <w:tblPrEx>
          <w:tblCellMar>
            <w:top w:w="0" w:type="dxa"/>
            <w:left w:w="108" w:type="dxa"/>
            <w:bottom w:w="0" w:type="dxa"/>
            <w:right w:w="108" w:type="dxa"/>
          </w:tblCellMar>
        </w:tblPrEx>
        <w:trPr>
          <w:trHeight w:val="855" w:hRule="atLeast"/>
        </w:trPr>
        <w:tc>
          <w:tcPr>
            <w:tcW w:w="687" w:type="dxa"/>
            <w:vMerge w:val="continue"/>
            <w:tcBorders>
              <w:top w:val="single" w:color="000000" w:sz="4" w:space="0"/>
              <w:left w:val="single" w:color="000000" w:sz="4" w:space="0"/>
              <w:bottom w:val="single" w:color="000000" w:sz="4" w:space="0"/>
              <w:right w:val="single" w:color="000000" w:sz="4" w:space="0"/>
            </w:tcBorders>
            <w:noWrap/>
            <w:vAlign w:val="center"/>
          </w:tcPr>
          <w:p w14:paraId="4C9F1063">
            <w:pPr>
              <w:keepNext w:val="0"/>
              <w:keepLines w:val="0"/>
              <w:pageBreakBefore w:val="0"/>
              <w:kinsoku/>
              <w:wordWrap/>
              <w:overflowPunct/>
              <w:topLinePunct w:val="0"/>
              <w:autoSpaceDE/>
              <w:autoSpaceDN/>
              <w:bidi w:val="0"/>
              <w:adjustRightInd/>
              <w:snapToGrid/>
              <w:spacing w:line="590" w:lineRule="exact"/>
              <w:ind w:left="0" w:leftChars="0" w:firstLine="0" w:firstLineChars="0"/>
              <w:jc w:val="center"/>
              <w:rPr>
                <w:rFonts w:hint="default" w:ascii="Times New Roman" w:hAnsi="Times New Roman" w:eastAsia="方正仿宋_GBK" w:cs="Times New Roman"/>
                <w:b/>
                <w:bCs/>
                <w:color w:val="000000"/>
                <w:spacing w:val="-6"/>
                <w:sz w:val="32"/>
                <w:szCs w:val="32"/>
              </w:rPr>
            </w:pPr>
          </w:p>
        </w:tc>
        <w:tc>
          <w:tcPr>
            <w:tcW w:w="3975" w:type="dxa"/>
            <w:vMerge w:val="continue"/>
            <w:tcBorders>
              <w:top w:val="single" w:color="000000" w:sz="4" w:space="0"/>
              <w:left w:val="single" w:color="000000" w:sz="4" w:space="0"/>
              <w:bottom w:val="single" w:color="000000" w:sz="4" w:space="0"/>
              <w:right w:val="single" w:color="000000" w:sz="4" w:space="0"/>
            </w:tcBorders>
            <w:noWrap w:val="0"/>
            <w:vAlign w:val="center"/>
          </w:tcPr>
          <w:p w14:paraId="7F64DC12">
            <w:pPr>
              <w:keepNext w:val="0"/>
              <w:keepLines w:val="0"/>
              <w:pageBreakBefore w:val="0"/>
              <w:kinsoku/>
              <w:wordWrap/>
              <w:overflowPunct/>
              <w:topLinePunct w:val="0"/>
              <w:autoSpaceDE/>
              <w:autoSpaceDN/>
              <w:bidi w:val="0"/>
              <w:adjustRightInd/>
              <w:snapToGrid/>
              <w:spacing w:line="590" w:lineRule="exact"/>
              <w:ind w:left="0" w:leftChars="0" w:firstLine="0" w:firstLineChars="0"/>
              <w:jc w:val="left"/>
              <w:rPr>
                <w:rFonts w:hint="default" w:ascii="Times New Roman" w:hAnsi="Times New Roman" w:eastAsia="方正仿宋_GBK" w:cs="Times New Roman"/>
                <w:color w:val="000000"/>
                <w:spacing w:val="-6"/>
                <w:sz w:val="32"/>
                <w:szCs w:val="32"/>
              </w:rPr>
            </w:pPr>
          </w:p>
        </w:tc>
        <w:tc>
          <w:tcPr>
            <w:tcW w:w="10110" w:type="dxa"/>
            <w:tcBorders>
              <w:top w:val="single" w:color="000000" w:sz="4" w:space="0"/>
              <w:left w:val="single" w:color="000000" w:sz="4" w:space="0"/>
              <w:bottom w:val="single" w:color="000000" w:sz="4" w:space="0"/>
              <w:right w:val="single" w:color="000000" w:sz="4" w:space="0"/>
            </w:tcBorders>
            <w:noWrap w:val="0"/>
            <w:vAlign w:val="center"/>
          </w:tcPr>
          <w:p w14:paraId="6F9CAACF">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sz w:val="32"/>
                <w:szCs w:val="32"/>
              </w:rPr>
            </w:pPr>
            <w:r>
              <w:rPr>
                <w:rFonts w:hint="default" w:ascii="Times New Roman" w:hAnsi="Times New Roman" w:eastAsia="方正仿宋_GBK" w:cs="Times New Roman"/>
                <w:color w:val="000000"/>
                <w:spacing w:val="-6"/>
                <w:kern w:val="0"/>
                <w:sz w:val="32"/>
                <w:szCs w:val="32"/>
                <w:lang w:bidi="ar"/>
              </w:rPr>
              <w:t>《安徽省物业专项维修资金管理暂行办法》第二十条  发生危及物业安全以及影响物业正常使用等紧急情况，需要立即对物业共用部位、共用设施设备进行维修和更新、改造的，由业主委员会、物业服务企业或者居民委员会提出物业专项维修资金使用方案，经所在地市、县人民政府房地产行政主管部门审核后，预先从物业专项维修资金中拨付，再按照本办法第十九条规定的程序补办有关手续。</w:t>
            </w:r>
          </w:p>
        </w:tc>
      </w:tr>
      <w:tr w14:paraId="2C460747">
        <w:tblPrEx>
          <w:tblCellMar>
            <w:top w:w="0" w:type="dxa"/>
            <w:left w:w="108" w:type="dxa"/>
            <w:bottom w:w="0" w:type="dxa"/>
            <w:right w:w="108" w:type="dxa"/>
          </w:tblCellMar>
        </w:tblPrEx>
        <w:trPr>
          <w:trHeight w:val="285" w:hRule="atLeast"/>
        </w:trPr>
        <w:tc>
          <w:tcPr>
            <w:tcW w:w="687" w:type="dxa"/>
            <w:vMerge w:val="continue"/>
            <w:tcBorders>
              <w:top w:val="single" w:color="000000" w:sz="4" w:space="0"/>
              <w:left w:val="single" w:color="000000" w:sz="4" w:space="0"/>
              <w:bottom w:val="single" w:color="000000" w:sz="4" w:space="0"/>
              <w:right w:val="single" w:color="000000" w:sz="4" w:space="0"/>
            </w:tcBorders>
            <w:noWrap/>
            <w:vAlign w:val="center"/>
          </w:tcPr>
          <w:p w14:paraId="7CE02D79">
            <w:pPr>
              <w:keepNext w:val="0"/>
              <w:keepLines w:val="0"/>
              <w:pageBreakBefore w:val="0"/>
              <w:kinsoku/>
              <w:wordWrap/>
              <w:overflowPunct/>
              <w:topLinePunct w:val="0"/>
              <w:autoSpaceDE/>
              <w:autoSpaceDN/>
              <w:bidi w:val="0"/>
              <w:adjustRightInd/>
              <w:snapToGrid/>
              <w:spacing w:line="590" w:lineRule="exact"/>
              <w:ind w:left="0" w:leftChars="0" w:firstLine="0" w:firstLineChars="0"/>
              <w:jc w:val="center"/>
              <w:rPr>
                <w:rFonts w:hint="default" w:ascii="Times New Roman" w:hAnsi="Times New Roman" w:eastAsia="方正仿宋_GBK" w:cs="Times New Roman"/>
                <w:b/>
                <w:bCs/>
                <w:color w:val="000000"/>
                <w:spacing w:val="-6"/>
                <w:sz w:val="32"/>
                <w:szCs w:val="32"/>
              </w:rPr>
            </w:pPr>
          </w:p>
        </w:tc>
        <w:tc>
          <w:tcPr>
            <w:tcW w:w="3975" w:type="dxa"/>
            <w:vMerge w:val="continue"/>
            <w:tcBorders>
              <w:top w:val="single" w:color="000000" w:sz="4" w:space="0"/>
              <w:left w:val="single" w:color="000000" w:sz="4" w:space="0"/>
              <w:bottom w:val="single" w:color="000000" w:sz="4" w:space="0"/>
              <w:right w:val="single" w:color="000000" w:sz="4" w:space="0"/>
            </w:tcBorders>
            <w:noWrap w:val="0"/>
            <w:vAlign w:val="center"/>
          </w:tcPr>
          <w:p w14:paraId="6AC2F0DF">
            <w:pPr>
              <w:keepNext w:val="0"/>
              <w:keepLines w:val="0"/>
              <w:pageBreakBefore w:val="0"/>
              <w:kinsoku/>
              <w:wordWrap/>
              <w:overflowPunct/>
              <w:topLinePunct w:val="0"/>
              <w:autoSpaceDE/>
              <w:autoSpaceDN/>
              <w:bidi w:val="0"/>
              <w:adjustRightInd/>
              <w:snapToGrid/>
              <w:spacing w:line="590" w:lineRule="exact"/>
              <w:ind w:left="0" w:leftChars="0" w:firstLine="0" w:firstLineChars="0"/>
              <w:jc w:val="left"/>
              <w:rPr>
                <w:rFonts w:hint="default" w:ascii="Times New Roman" w:hAnsi="Times New Roman" w:eastAsia="方正仿宋_GBK" w:cs="Times New Roman"/>
                <w:color w:val="000000"/>
                <w:spacing w:val="-6"/>
                <w:sz w:val="32"/>
                <w:szCs w:val="32"/>
              </w:rPr>
            </w:pPr>
          </w:p>
        </w:tc>
        <w:tc>
          <w:tcPr>
            <w:tcW w:w="10110" w:type="dxa"/>
            <w:tcBorders>
              <w:top w:val="single" w:color="000000" w:sz="4" w:space="0"/>
              <w:left w:val="single" w:color="000000" w:sz="4" w:space="0"/>
              <w:bottom w:val="single" w:color="000000" w:sz="4" w:space="0"/>
              <w:right w:val="single" w:color="000000" w:sz="4" w:space="0"/>
            </w:tcBorders>
            <w:noWrap w:val="0"/>
            <w:vAlign w:val="center"/>
          </w:tcPr>
          <w:p w14:paraId="4B8BA57F">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sz w:val="32"/>
                <w:szCs w:val="32"/>
              </w:rPr>
            </w:pPr>
            <w:r>
              <w:rPr>
                <w:rFonts w:hint="default" w:ascii="Times New Roman" w:hAnsi="Times New Roman" w:eastAsia="方正仿宋_GBK" w:cs="Times New Roman"/>
                <w:color w:val="000000"/>
                <w:spacing w:val="-6"/>
                <w:kern w:val="0"/>
                <w:sz w:val="32"/>
                <w:szCs w:val="32"/>
                <w:lang w:bidi="ar"/>
              </w:rPr>
              <w:t>《安徽省物业专项维修资金管理暂行办法》第二十五条第一款  业主委员会应当每半年向业主公示物业专项维修资金收取、使用和管理等情况，接受业主的监督。</w:t>
            </w:r>
          </w:p>
        </w:tc>
      </w:tr>
      <w:tr w14:paraId="7334DD30">
        <w:tblPrEx>
          <w:tblCellMar>
            <w:top w:w="0" w:type="dxa"/>
            <w:left w:w="108" w:type="dxa"/>
            <w:bottom w:w="0" w:type="dxa"/>
            <w:right w:w="108" w:type="dxa"/>
          </w:tblCellMar>
        </w:tblPrEx>
        <w:trPr>
          <w:trHeight w:val="855" w:hRule="atLeast"/>
        </w:trPr>
        <w:tc>
          <w:tcPr>
            <w:tcW w:w="687" w:type="dxa"/>
            <w:vMerge w:val="restart"/>
            <w:tcBorders>
              <w:top w:val="single" w:color="000000" w:sz="4" w:space="0"/>
              <w:left w:val="single" w:color="000000" w:sz="4" w:space="0"/>
              <w:bottom w:val="single" w:color="000000" w:sz="4" w:space="0"/>
              <w:right w:val="single" w:color="000000" w:sz="4" w:space="0"/>
            </w:tcBorders>
            <w:noWrap/>
            <w:vAlign w:val="center"/>
          </w:tcPr>
          <w:p w14:paraId="02B83F5A">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center"/>
              <w:textAlignment w:val="center"/>
              <w:rPr>
                <w:rFonts w:hint="default" w:ascii="Times New Roman" w:hAnsi="Times New Roman" w:eastAsia="方正仿宋_GBK" w:cs="Times New Roman"/>
                <w:b/>
                <w:bCs/>
                <w:color w:val="000000"/>
                <w:spacing w:val="-6"/>
                <w:sz w:val="32"/>
                <w:szCs w:val="32"/>
              </w:rPr>
            </w:pPr>
            <w:r>
              <w:rPr>
                <w:rFonts w:hint="eastAsia" w:ascii="方正楷体_GBK" w:hAnsi="方正楷体_GBK" w:eastAsia="方正楷体_GBK" w:cs="方正楷体_GBK"/>
                <w:b/>
                <w:bCs/>
                <w:color w:val="000000"/>
                <w:spacing w:val="-6"/>
                <w:kern w:val="0"/>
                <w:sz w:val="30"/>
                <w:szCs w:val="30"/>
                <w:lang w:eastAsia="zh-CN" w:bidi="ar"/>
              </w:rPr>
              <w:t>十一</w:t>
            </w:r>
            <w:r>
              <w:rPr>
                <w:rFonts w:hint="default" w:ascii="方正楷体_GBK" w:hAnsi="方正楷体_GBK" w:eastAsia="方正楷体_GBK" w:cs="方正楷体_GBK"/>
                <w:b/>
                <w:bCs/>
                <w:color w:val="000000"/>
                <w:spacing w:val="-6"/>
                <w:kern w:val="0"/>
                <w:sz w:val="30"/>
                <w:szCs w:val="30"/>
                <w:lang w:eastAsia="zh-CN" w:bidi="ar"/>
              </w:rPr>
              <w:t>、其他职责</w:t>
            </w:r>
          </w:p>
        </w:tc>
        <w:tc>
          <w:tcPr>
            <w:tcW w:w="3975" w:type="dxa"/>
            <w:vMerge w:val="restart"/>
            <w:tcBorders>
              <w:top w:val="single" w:color="000000" w:sz="4" w:space="0"/>
              <w:left w:val="single" w:color="000000" w:sz="4" w:space="0"/>
              <w:bottom w:val="single" w:color="000000" w:sz="4" w:space="0"/>
              <w:right w:val="single" w:color="000000" w:sz="4" w:space="0"/>
            </w:tcBorders>
            <w:noWrap w:val="0"/>
            <w:vAlign w:val="center"/>
          </w:tcPr>
          <w:p w14:paraId="1F70B15D">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（一）业主委员会应当配合公安机关，与社区（村）相互协作，积极配合社区（村）依法履行自治管理职责，支持社区（村）开展工作，认真听取社区（村）的建议，并接受其指导和监督；</w:t>
            </w:r>
          </w:p>
          <w:p w14:paraId="18995CC8">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（二）业主委员会应当督促业主按物业服务合同约定交纳物业服务费用；</w:t>
            </w:r>
          </w:p>
          <w:p w14:paraId="0BD77C83">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（三）业主委员会及其工作人员不得泄露业主个人信息资料；</w:t>
            </w:r>
          </w:p>
          <w:p w14:paraId="4832C71D">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（四）业主委员会应当对物业服务企业公布的服务内容、服务标准、收费项目、收费标准等情况进行监督核查，并将核查报告在本物业管理区域内显著位置公布；</w:t>
            </w:r>
          </w:p>
          <w:p w14:paraId="390446DD">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五）业主委员会应当（督促物业服务企业）将停车位的出售、出租情况在物业管理区域显著位置公示，接受业主监督。占用业主共有的道路或者其他场地停放汽车的，应当按照规定施划停车位，并向自然资源和规划、应急管理、公安机关交通管理等部门报送车位施划方案；</w:t>
            </w:r>
          </w:p>
          <w:p w14:paraId="2C1ECD14">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（六）业主委员会应当根据管理规约约定对擅自改变业主自有建筑物及其附属设施用途的进行协调、处理；协调处理不成的及时报县区物业管理行政主管部门；</w:t>
            </w:r>
          </w:p>
          <w:p w14:paraId="5D5D54DD">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（七）业主委员会应当协助做好养犬管理工作；</w:t>
            </w:r>
          </w:p>
          <w:p w14:paraId="5064D669">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sz w:val="32"/>
                <w:szCs w:val="32"/>
              </w:rPr>
            </w:pPr>
            <w:r>
              <w:rPr>
                <w:rFonts w:hint="default" w:ascii="Times New Roman" w:hAnsi="Times New Roman" w:eastAsia="方正仿宋_GBK" w:cs="Times New Roman"/>
                <w:color w:val="000000"/>
                <w:spacing w:val="-6"/>
                <w:kern w:val="0"/>
                <w:sz w:val="32"/>
                <w:szCs w:val="32"/>
                <w:lang w:bidi="ar"/>
              </w:rPr>
              <w:t>（八）业主委员会应当协助做好燃放烟花爆竹管理工作，发现和劝阻违法燃放行为。</w:t>
            </w:r>
          </w:p>
        </w:tc>
        <w:tc>
          <w:tcPr>
            <w:tcW w:w="10110" w:type="dxa"/>
            <w:tcBorders>
              <w:top w:val="single" w:color="000000" w:sz="4" w:space="0"/>
              <w:left w:val="single" w:color="000000" w:sz="4" w:space="0"/>
              <w:bottom w:val="single" w:color="000000" w:sz="4" w:space="0"/>
              <w:right w:val="single" w:color="000000" w:sz="4" w:space="0"/>
            </w:tcBorders>
            <w:noWrap w:val="0"/>
            <w:vAlign w:val="center"/>
          </w:tcPr>
          <w:p w14:paraId="54B18B63">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《物业管理条例》第二十条  业主大会、业主委员会应当配合公安机关，与居民委员会相互协作，共同做好维护物业管理区域内的社会治安等相关工作。</w:t>
            </w:r>
          </w:p>
          <w:p w14:paraId="1EA383EE">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在物业管理区域内，业主大会、业主委员会应当积极配合相关居民委员会依法履行自治管理职责，支持居民委员会开展工作，并接受其指导和监督。</w:t>
            </w:r>
          </w:p>
          <w:p w14:paraId="5A5554EA">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sz w:val="32"/>
                <w:szCs w:val="32"/>
              </w:rPr>
            </w:pPr>
            <w:r>
              <w:rPr>
                <w:rFonts w:hint="default" w:ascii="Times New Roman" w:hAnsi="Times New Roman" w:eastAsia="方正仿宋_GBK" w:cs="Times New Roman"/>
                <w:color w:val="000000"/>
                <w:spacing w:val="-6"/>
                <w:kern w:val="0"/>
                <w:sz w:val="32"/>
                <w:szCs w:val="32"/>
                <w:lang w:bidi="ar"/>
              </w:rPr>
              <w:t>住宅小区的业主大会、业主委员会作出的决定，应当告知相关的居民委员会，并认真听取居民委员会的建议。</w:t>
            </w:r>
          </w:p>
        </w:tc>
      </w:tr>
      <w:tr w14:paraId="4F864444">
        <w:tblPrEx>
          <w:tblCellMar>
            <w:top w:w="0" w:type="dxa"/>
            <w:left w:w="108" w:type="dxa"/>
            <w:bottom w:w="0" w:type="dxa"/>
            <w:right w:w="108" w:type="dxa"/>
          </w:tblCellMar>
        </w:tblPrEx>
        <w:trPr>
          <w:trHeight w:val="285" w:hRule="atLeast"/>
        </w:trPr>
        <w:tc>
          <w:tcPr>
            <w:tcW w:w="687" w:type="dxa"/>
            <w:vMerge w:val="continue"/>
            <w:tcBorders>
              <w:top w:val="single" w:color="000000" w:sz="4" w:space="0"/>
              <w:left w:val="single" w:color="000000" w:sz="4" w:space="0"/>
              <w:bottom w:val="single" w:color="000000" w:sz="4" w:space="0"/>
              <w:right w:val="single" w:color="000000" w:sz="4" w:space="0"/>
            </w:tcBorders>
            <w:noWrap/>
            <w:vAlign w:val="center"/>
          </w:tcPr>
          <w:p w14:paraId="48C6CAD8">
            <w:pPr>
              <w:keepNext w:val="0"/>
              <w:keepLines w:val="0"/>
              <w:pageBreakBefore w:val="0"/>
              <w:kinsoku/>
              <w:wordWrap/>
              <w:overflowPunct/>
              <w:topLinePunct w:val="0"/>
              <w:autoSpaceDE/>
              <w:autoSpaceDN/>
              <w:bidi w:val="0"/>
              <w:adjustRightInd/>
              <w:snapToGrid/>
              <w:spacing w:line="590" w:lineRule="exact"/>
              <w:ind w:left="0" w:leftChars="0" w:firstLine="0" w:firstLineChars="0"/>
              <w:jc w:val="center"/>
              <w:rPr>
                <w:rFonts w:hint="default" w:ascii="Times New Roman" w:hAnsi="Times New Roman" w:eastAsia="方正仿宋_GBK" w:cs="Times New Roman"/>
                <w:b/>
                <w:bCs/>
                <w:color w:val="000000"/>
                <w:spacing w:val="-6"/>
                <w:sz w:val="32"/>
                <w:szCs w:val="32"/>
              </w:rPr>
            </w:pPr>
          </w:p>
        </w:tc>
        <w:tc>
          <w:tcPr>
            <w:tcW w:w="3975" w:type="dxa"/>
            <w:vMerge w:val="continue"/>
            <w:tcBorders>
              <w:top w:val="single" w:color="000000" w:sz="4" w:space="0"/>
              <w:left w:val="single" w:color="000000" w:sz="4" w:space="0"/>
              <w:bottom w:val="single" w:color="000000" w:sz="4" w:space="0"/>
              <w:right w:val="single" w:color="000000" w:sz="4" w:space="0"/>
            </w:tcBorders>
            <w:noWrap w:val="0"/>
            <w:vAlign w:val="center"/>
          </w:tcPr>
          <w:p w14:paraId="17F80BD5">
            <w:pPr>
              <w:keepNext w:val="0"/>
              <w:keepLines w:val="0"/>
              <w:pageBreakBefore w:val="0"/>
              <w:kinsoku/>
              <w:wordWrap/>
              <w:overflowPunct/>
              <w:topLinePunct w:val="0"/>
              <w:autoSpaceDE/>
              <w:autoSpaceDN/>
              <w:bidi w:val="0"/>
              <w:adjustRightInd/>
              <w:snapToGrid/>
              <w:spacing w:line="590" w:lineRule="exact"/>
              <w:ind w:left="0" w:leftChars="0" w:firstLine="0" w:firstLineChars="0"/>
              <w:jc w:val="left"/>
              <w:rPr>
                <w:rFonts w:hint="default" w:ascii="Times New Roman" w:hAnsi="Times New Roman" w:eastAsia="方正仿宋_GBK" w:cs="Times New Roman"/>
                <w:color w:val="000000"/>
                <w:spacing w:val="-6"/>
                <w:sz w:val="32"/>
                <w:szCs w:val="32"/>
              </w:rPr>
            </w:pPr>
          </w:p>
        </w:tc>
        <w:tc>
          <w:tcPr>
            <w:tcW w:w="10110" w:type="dxa"/>
            <w:tcBorders>
              <w:top w:val="single" w:color="000000" w:sz="4" w:space="0"/>
              <w:left w:val="single" w:color="000000" w:sz="4" w:space="0"/>
              <w:bottom w:val="single" w:color="000000" w:sz="4" w:space="0"/>
              <w:right w:val="single" w:color="000000" w:sz="4" w:space="0"/>
            </w:tcBorders>
            <w:noWrap/>
            <w:vAlign w:val="center"/>
          </w:tcPr>
          <w:p w14:paraId="4C742519">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sz w:val="32"/>
                <w:szCs w:val="32"/>
              </w:rPr>
            </w:pPr>
            <w:r>
              <w:rPr>
                <w:rFonts w:hint="default" w:ascii="Times New Roman" w:hAnsi="Times New Roman" w:eastAsia="方正仿宋_GBK" w:cs="Times New Roman"/>
                <w:color w:val="000000"/>
                <w:spacing w:val="-6"/>
                <w:kern w:val="0"/>
                <w:sz w:val="32"/>
                <w:szCs w:val="32"/>
                <w:lang w:bidi="ar"/>
              </w:rPr>
              <w:t>《物业管理条例》第六十四条  违反物业服务合同约定，业主逾期不交纳物业服务费用的，业主委员会应当督促其限期交纳；逾期仍不交纳的，物业服务企业可以向人民法院起诉。</w:t>
            </w:r>
          </w:p>
        </w:tc>
      </w:tr>
      <w:tr w14:paraId="44D3D487">
        <w:tblPrEx>
          <w:tblCellMar>
            <w:top w:w="0" w:type="dxa"/>
            <w:left w:w="108" w:type="dxa"/>
            <w:bottom w:w="0" w:type="dxa"/>
            <w:right w:w="108" w:type="dxa"/>
          </w:tblCellMar>
        </w:tblPrEx>
        <w:trPr>
          <w:trHeight w:val="285" w:hRule="atLeast"/>
        </w:trPr>
        <w:tc>
          <w:tcPr>
            <w:tcW w:w="687" w:type="dxa"/>
            <w:vMerge w:val="continue"/>
            <w:tcBorders>
              <w:top w:val="single" w:color="000000" w:sz="4" w:space="0"/>
              <w:left w:val="single" w:color="000000" w:sz="4" w:space="0"/>
              <w:bottom w:val="single" w:color="000000" w:sz="4" w:space="0"/>
              <w:right w:val="single" w:color="000000" w:sz="4" w:space="0"/>
            </w:tcBorders>
            <w:noWrap/>
            <w:vAlign w:val="center"/>
          </w:tcPr>
          <w:p w14:paraId="6BAB85ED">
            <w:pPr>
              <w:keepNext w:val="0"/>
              <w:keepLines w:val="0"/>
              <w:pageBreakBefore w:val="0"/>
              <w:kinsoku/>
              <w:wordWrap/>
              <w:overflowPunct/>
              <w:topLinePunct w:val="0"/>
              <w:autoSpaceDE/>
              <w:autoSpaceDN/>
              <w:bidi w:val="0"/>
              <w:adjustRightInd/>
              <w:snapToGrid/>
              <w:spacing w:line="590" w:lineRule="exact"/>
              <w:ind w:left="0" w:leftChars="0" w:firstLine="0" w:firstLineChars="0"/>
              <w:jc w:val="center"/>
              <w:rPr>
                <w:rFonts w:hint="default" w:ascii="Times New Roman" w:hAnsi="Times New Roman" w:eastAsia="方正仿宋_GBK" w:cs="Times New Roman"/>
                <w:b/>
                <w:bCs/>
                <w:color w:val="000000"/>
                <w:spacing w:val="-6"/>
                <w:sz w:val="32"/>
                <w:szCs w:val="32"/>
              </w:rPr>
            </w:pPr>
          </w:p>
        </w:tc>
        <w:tc>
          <w:tcPr>
            <w:tcW w:w="3975" w:type="dxa"/>
            <w:vMerge w:val="continue"/>
            <w:tcBorders>
              <w:top w:val="single" w:color="000000" w:sz="4" w:space="0"/>
              <w:left w:val="single" w:color="000000" w:sz="4" w:space="0"/>
              <w:bottom w:val="single" w:color="000000" w:sz="4" w:space="0"/>
              <w:right w:val="single" w:color="000000" w:sz="4" w:space="0"/>
            </w:tcBorders>
            <w:noWrap w:val="0"/>
            <w:vAlign w:val="center"/>
          </w:tcPr>
          <w:p w14:paraId="1526DF69">
            <w:pPr>
              <w:keepNext w:val="0"/>
              <w:keepLines w:val="0"/>
              <w:pageBreakBefore w:val="0"/>
              <w:kinsoku/>
              <w:wordWrap/>
              <w:overflowPunct/>
              <w:topLinePunct w:val="0"/>
              <w:autoSpaceDE/>
              <w:autoSpaceDN/>
              <w:bidi w:val="0"/>
              <w:adjustRightInd/>
              <w:snapToGrid/>
              <w:spacing w:line="590" w:lineRule="exact"/>
              <w:ind w:left="0" w:leftChars="0" w:firstLine="0" w:firstLineChars="0"/>
              <w:jc w:val="left"/>
              <w:rPr>
                <w:rFonts w:hint="default" w:ascii="Times New Roman" w:hAnsi="Times New Roman" w:eastAsia="方正仿宋_GBK" w:cs="Times New Roman"/>
                <w:color w:val="000000"/>
                <w:spacing w:val="-6"/>
                <w:sz w:val="32"/>
                <w:szCs w:val="32"/>
              </w:rPr>
            </w:pPr>
          </w:p>
        </w:tc>
        <w:tc>
          <w:tcPr>
            <w:tcW w:w="10110" w:type="dxa"/>
            <w:tcBorders>
              <w:top w:val="single" w:color="000000" w:sz="4" w:space="0"/>
              <w:left w:val="single" w:color="000000" w:sz="4" w:space="0"/>
              <w:bottom w:val="single" w:color="000000" w:sz="4" w:space="0"/>
              <w:right w:val="single" w:color="000000" w:sz="4" w:space="0"/>
            </w:tcBorders>
            <w:noWrap/>
            <w:vAlign w:val="center"/>
          </w:tcPr>
          <w:p w14:paraId="283A45AE">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sz w:val="32"/>
                <w:szCs w:val="32"/>
              </w:rPr>
            </w:pPr>
            <w:r>
              <w:rPr>
                <w:rFonts w:hint="default" w:ascii="Times New Roman" w:hAnsi="Times New Roman" w:eastAsia="方正仿宋_GBK" w:cs="Times New Roman"/>
                <w:color w:val="000000"/>
                <w:spacing w:val="-6"/>
                <w:kern w:val="0"/>
                <w:sz w:val="32"/>
                <w:szCs w:val="32"/>
                <w:lang w:bidi="ar"/>
              </w:rPr>
              <w:t>《安徽省物业管理条例》第五十条第三款  建设单位、物业服务企业、业主委员会及其工作人员不得泄露业主个人信息资料</w:t>
            </w:r>
          </w:p>
        </w:tc>
      </w:tr>
      <w:tr w14:paraId="7A5DABED">
        <w:tblPrEx>
          <w:tblCellMar>
            <w:top w:w="0" w:type="dxa"/>
            <w:left w:w="108" w:type="dxa"/>
            <w:bottom w:w="0" w:type="dxa"/>
            <w:right w:w="108" w:type="dxa"/>
          </w:tblCellMar>
        </w:tblPrEx>
        <w:trPr>
          <w:trHeight w:val="570" w:hRule="atLeast"/>
        </w:trPr>
        <w:tc>
          <w:tcPr>
            <w:tcW w:w="687" w:type="dxa"/>
            <w:vMerge w:val="continue"/>
            <w:tcBorders>
              <w:top w:val="single" w:color="000000" w:sz="4" w:space="0"/>
              <w:left w:val="single" w:color="000000" w:sz="4" w:space="0"/>
              <w:bottom w:val="single" w:color="000000" w:sz="4" w:space="0"/>
              <w:right w:val="single" w:color="000000" w:sz="4" w:space="0"/>
            </w:tcBorders>
            <w:noWrap/>
            <w:vAlign w:val="center"/>
          </w:tcPr>
          <w:p w14:paraId="04F46181">
            <w:pPr>
              <w:keepNext w:val="0"/>
              <w:keepLines w:val="0"/>
              <w:pageBreakBefore w:val="0"/>
              <w:kinsoku/>
              <w:wordWrap/>
              <w:overflowPunct/>
              <w:topLinePunct w:val="0"/>
              <w:autoSpaceDE/>
              <w:autoSpaceDN/>
              <w:bidi w:val="0"/>
              <w:adjustRightInd/>
              <w:snapToGrid/>
              <w:spacing w:line="590" w:lineRule="exact"/>
              <w:ind w:left="0" w:leftChars="0" w:firstLine="0" w:firstLineChars="0"/>
              <w:jc w:val="center"/>
              <w:rPr>
                <w:rFonts w:hint="default" w:ascii="Times New Roman" w:hAnsi="Times New Roman" w:eastAsia="方正仿宋_GBK" w:cs="Times New Roman"/>
                <w:b/>
                <w:bCs/>
                <w:color w:val="000000"/>
                <w:spacing w:val="-6"/>
                <w:sz w:val="32"/>
                <w:szCs w:val="32"/>
              </w:rPr>
            </w:pPr>
          </w:p>
        </w:tc>
        <w:tc>
          <w:tcPr>
            <w:tcW w:w="3975" w:type="dxa"/>
            <w:vMerge w:val="continue"/>
            <w:tcBorders>
              <w:top w:val="single" w:color="000000" w:sz="4" w:space="0"/>
              <w:left w:val="single" w:color="000000" w:sz="4" w:space="0"/>
              <w:bottom w:val="single" w:color="000000" w:sz="4" w:space="0"/>
              <w:right w:val="single" w:color="000000" w:sz="4" w:space="0"/>
            </w:tcBorders>
            <w:noWrap w:val="0"/>
            <w:vAlign w:val="center"/>
          </w:tcPr>
          <w:p w14:paraId="60B57EFC">
            <w:pPr>
              <w:keepNext w:val="0"/>
              <w:keepLines w:val="0"/>
              <w:pageBreakBefore w:val="0"/>
              <w:kinsoku/>
              <w:wordWrap/>
              <w:overflowPunct/>
              <w:topLinePunct w:val="0"/>
              <w:autoSpaceDE/>
              <w:autoSpaceDN/>
              <w:bidi w:val="0"/>
              <w:adjustRightInd/>
              <w:snapToGrid/>
              <w:spacing w:line="590" w:lineRule="exact"/>
              <w:ind w:left="0" w:leftChars="0" w:firstLine="0" w:firstLineChars="0"/>
              <w:jc w:val="left"/>
              <w:rPr>
                <w:rFonts w:hint="default" w:ascii="Times New Roman" w:hAnsi="Times New Roman" w:eastAsia="方正仿宋_GBK" w:cs="Times New Roman"/>
                <w:color w:val="000000"/>
                <w:spacing w:val="-6"/>
                <w:sz w:val="32"/>
                <w:szCs w:val="32"/>
              </w:rPr>
            </w:pPr>
          </w:p>
        </w:tc>
        <w:tc>
          <w:tcPr>
            <w:tcW w:w="10110" w:type="dxa"/>
            <w:tcBorders>
              <w:top w:val="single" w:color="000000" w:sz="4" w:space="0"/>
              <w:left w:val="single" w:color="000000" w:sz="4" w:space="0"/>
              <w:bottom w:val="single" w:color="000000" w:sz="4" w:space="0"/>
              <w:right w:val="single" w:color="000000" w:sz="4" w:space="0"/>
            </w:tcBorders>
            <w:noWrap w:val="0"/>
            <w:vAlign w:val="center"/>
          </w:tcPr>
          <w:p w14:paraId="2BA4B64B">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sz w:val="32"/>
                <w:szCs w:val="32"/>
              </w:rPr>
            </w:pPr>
            <w:r>
              <w:rPr>
                <w:rFonts w:hint="default" w:ascii="Times New Roman" w:hAnsi="Times New Roman" w:eastAsia="方正仿宋_GBK" w:cs="Times New Roman"/>
                <w:color w:val="000000"/>
                <w:spacing w:val="-6"/>
                <w:kern w:val="0"/>
                <w:sz w:val="32"/>
                <w:szCs w:val="32"/>
                <w:lang w:bidi="ar"/>
              </w:rPr>
              <w:t>《安徽省物业管理条例》第六十五条第一款  物业服务企业应当按照国家和省有关规定公布物业服务内容、服务标准、收费项目、收费标准等情况，业主委员会应当对所公布的内容进行监督核查，并将核查报告在本物业管理区域内显著位置公布。</w:t>
            </w:r>
          </w:p>
        </w:tc>
      </w:tr>
      <w:tr w14:paraId="5EE29F87">
        <w:tblPrEx>
          <w:tblCellMar>
            <w:top w:w="0" w:type="dxa"/>
            <w:left w:w="108" w:type="dxa"/>
            <w:bottom w:w="0" w:type="dxa"/>
            <w:right w:w="108" w:type="dxa"/>
          </w:tblCellMar>
        </w:tblPrEx>
        <w:trPr>
          <w:trHeight w:val="285" w:hRule="atLeast"/>
        </w:trPr>
        <w:tc>
          <w:tcPr>
            <w:tcW w:w="687" w:type="dxa"/>
            <w:vMerge w:val="continue"/>
            <w:tcBorders>
              <w:top w:val="single" w:color="000000" w:sz="4" w:space="0"/>
              <w:left w:val="single" w:color="000000" w:sz="4" w:space="0"/>
              <w:bottom w:val="single" w:color="000000" w:sz="4" w:space="0"/>
              <w:right w:val="single" w:color="000000" w:sz="4" w:space="0"/>
            </w:tcBorders>
            <w:noWrap/>
            <w:vAlign w:val="center"/>
          </w:tcPr>
          <w:p w14:paraId="7CDCBE34">
            <w:pPr>
              <w:keepNext w:val="0"/>
              <w:keepLines w:val="0"/>
              <w:pageBreakBefore w:val="0"/>
              <w:kinsoku/>
              <w:wordWrap/>
              <w:overflowPunct/>
              <w:topLinePunct w:val="0"/>
              <w:autoSpaceDE/>
              <w:autoSpaceDN/>
              <w:bidi w:val="0"/>
              <w:adjustRightInd/>
              <w:snapToGrid/>
              <w:spacing w:line="590" w:lineRule="exact"/>
              <w:ind w:left="0" w:leftChars="0" w:firstLine="0" w:firstLineChars="0"/>
              <w:jc w:val="center"/>
              <w:rPr>
                <w:rFonts w:hint="default" w:ascii="Times New Roman" w:hAnsi="Times New Roman" w:eastAsia="方正仿宋_GBK" w:cs="Times New Roman"/>
                <w:b/>
                <w:bCs/>
                <w:color w:val="000000"/>
                <w:spacing w:val="-6"/>
                <w:sz w:val="32"/>
                <w:szCs w:val="32"/>
              </w:rPr>
            </w:pPr>
          </w:p>
        </w:tc>
        <w:tc>
          <w:tcPr>
            <w:tcW w:w="3975" w:type="dxa"/>
            <w:vMerge w:val="continue"/>
            <w:tcBorders>
              <w:top w:val="single" w:color="000000" w:sz="4" w:space="0"/>
              <w:left w:val="single" w:color="000000" w:sz="4" w:space="0"/>
              <w:bottom w:val="single" w:color="000000" w:sz="4" w:space="0"/>
              <w:right w:val="single" w:color="000000" w:sz="4" w:space="0"/>
            </w:tcBorders>
            <w:noWrap w:val="0"/>
            <w:vAlign w:val="center"/>
          </w:tcPr>
          <w:p w14:paraId="023C4799">
            <w:pPr>
              <w:keepNext w:val="0"/>
              <w:keepLines w:val="0"/>
              <w:pageBreakBefore w:val="0"/>
              <w:kinsoku/>
              <w:wordWrap/>
              <w:overflowPunct/>
              <w:topLinePunct w:val="0"/>
              <w:autoSpaceDE/>
              <w:autoSpaceDN/>
              <w:bidi w:val="0"/>
              <w:adjustRightInd/>
              <w:snapToGrid/>
              <w:spacing w:line="590" w:lineRule="exact"/>
              <w:ind w:left="0" w:leftChars="0" w:firstLine="0" w:firstLineChars="0"/>
              <w:jc w:val="left"/>
              <w:rPr>
                <w:rFonts w:hint="default" w:ascii="Times New Roman" w:hAnsi="Times New Roman" w:eastAsia="方正仿宋_GBK" w:cs="Times New Roman"/>
                <w:color w:val="000000"/>
                <w:spacing w:val="-6"/>
                <w:sz w:val="32"/>
                <w:szCs w:val="32"/>
              </w:rPr>
            </w:pPr>
          </w:p>
        </w:tc>
        <w:tc>
          <w:tcPr>
            <w:tcW w:w="10110" w:type="dxa"/>
            <w:tcBorders>
              <w:top w:val="single" w:color="000000" w:sz="4" w:space="0"/>
              <w:left w:val="single" w:color="000000" w:sz="4" w:space="0"/>
              <w:bottom w:val="single" w:color="000000" w:sz="4" w:space="0"/>
              <w:right w:val="single" w:color="000000" w:sz="4" w:space="0"/>
            </w:tcBorders>
            <w:noWrap w:val="0"/>
            <w:vAlign w:val="center"/>
          </w:tcPr>
          <w:p w14:paraId="140119DB">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sz w:val="32"/>
                <w:szCs w:val="32"/>
              </w:rPr>
            </w:pPr>
            <w:r>
              <w:rPr>
                <w:rFonts w:hint="default" w:ascii="Times New Roman" w:hAnsi="Times New Roman" w:eastAsia="方正仿宋_GBK" w:cs="Times New Roman"/>
                <w:color w:val="000000"/>
                <w:spacing w:val="-6"/>
                <w:kern w:val="0"/>
                <w:sz w:val="32"/>
                <w:szCs w:val="32"/>
                <w:lang w:bidi="ar"/>
              </w:rPr>
              <w:t>《六安市物业管理条例》第四十条第五款  业主委员会或者物业服务企业应当将停车位的出售、出租情况在物业管理区域显著位置公示，接受业主监督。</w:t>
            </w:r>
          </w:p>
        </w:tc>
      </w:tr>
      <w:tr w14:paraId="24A3F734">
        <w:tblPrEx>
          <w:tblCellMar>
            <w:top w:w="0" w:type="dxa"/>
            <w:left w:w="108" w:type="dxa"/>
            <w:bottom w:w="0" w:type="dxa"/>
            <w:right w:w="108" w:type="dxa"/>
          </w:tblCellMar>
        </w:tblPrEx>
        <w:trPr>
          <w:trHeight w:val="570" w:hRule="atLeast"/>
        </w:trPr>
        <w:tc>
          <w:tcPr>
            <w:tcW w:w="687" w:type="dxa"/>
            <w:vMerge w:val="continue"/>
            <w:tcBorders>
              <w:top w:val="single" w:color="000000" w:sz="4" w:space="0"/>
              <w:left w:val="single" w:color="000000" w:sz="4" w:space="0"/>
              <w:bottom w:val="single" w:color="000000" w:sz="4" w:space="0"/>
              <w:right w:val="single" w:color="000000" w:sz="4" w:space="0"/>
            </w:tcBorders>
            <w:noWrap/>
            <w:vAlign w:val="center"/>
          </w:tcPr>
          <w:p w14:paraId="2633A643">
            <w:pPr>
              <w:keepNext w:val="0"/>
              <w:keepLines w:val="0"/>
              <w:pageBreakBefore w:val="0"/>
              <w:kinsoku/>
              <w:wordWrap/>
              <w:overflowPunct/>
              <w:topLinePunct w:val="0"/>
              <w:autoSpaceDE/>
              <w:autoSpaceDN/>
              <w:bidi w:val="0"/>
              <w:adjustRightInd/>
              <w:snapToGrid/>
              <w:spacing w:line="590" w:lineRule="exact"/>
              <w:ind w:left="0" w:leftChars="0" w:firstLine="0" w:firstLineChars="0"/>
              <w:jc w:val="center"/>
              <w:rPr>
                <w:rFonts w:hint="default" w:ascii="Times New Roman" w:hAnsi="Times New Roman" w:eastAsia="方正仿宋_GBK" w:cs="Times New Roman"/>
                <w:b/>
                <w:bCs/>
                <w:color w:val="000000"/>
                <w:spacing w:val="-6"/>
                <w:sz w:val="32"/>
                <w:szCs w:val="32"/>
              </w:rPr>
            </w:pPr>
          </w:p>
        </w:tc>
        <w:tc>
          <w:tcPr>
            <w:tcW w:w="3975" w:type="dxa"/>
            <w:vMerge w:val="continue"/>
            <w:tcBorders>
              <w:top w:val="single" w:color="000000" w:sz="4" w:space="0"/>
              <w:left w:val="single" w:color="000000" w:sz="4" w:space="0"/>
              <w:bottom w:val="single" w:color="000000" w:sz="4" w:space="0"/>
              <w:right w:val="single" w:color="000000" w:sz="4" w:space="0"/>
            </w:tcBorders>
            <w:noWrap w:val="0"/>
            <w:vAlign w:val="center"/>
          </w:tcPr>
          <w:p w14:paraId="153C57A1">
            <w:pPr>
              <w:keepNext w:val="0"/>
              <w:keepLines w:val="0"/>
              <w:pageBreakBefore w:val="0"/>
              <w:kinsoku/>
              <w:wordWrap/>
              <w:overflowPunct/>
              <w:topLinePunct w:val="0"/>
              <w:autoSpaceDE/>
              <w:autoSpaceDN/>
              <w:bidi w:val="0"/>
              <w:adjustRightInd/>
              <w:snapToGrid/>
              <w:spacing w:line="590" w:lineRule="exact"/>
              <w:ind w:left="0" w:leftChars="0" w:firstLine="0" w:firstLineChars="0"/>
              <w:jc w:val="left"/>
              <w:rPr>
                <w:rFonts w:hint="default" w:ascii="Times New Roman" w:hAnsi="Times New Roman" w:eastAsia="方正仿宋_GBK" w:cs="Times New Roman"/>
                <w:color w:val="000000"/>
                <w:spacing w:val="-6"/>
                <w:sz w:val="32"/>
                <w:szCs w:val="32"/>
              </w:rPr>
            </w:pPr>
          </w:p>
        </w:tc>
        <w:tc>
          <w:tcPr>
            <w:tcW w:w="10110" w:type="dxa"/>
            <w:tcBorders>
              <w:top w:val="single" w:color="000000" w:sz="4" w:space="0"/>
              <w:left w:val="single" w:color="000000" w:sz="4" w:space="0"/>
              <w:bottom w:val="single" w:color="000000" w:sz="4" w:space="0"/>
              <w:right w:val="single" w:color="000000" w:sz="4" w:space="0"/>
            </w:tcBorders>
            <w:noWrap w:val="0"/>
            <w:vAlign w:val="center"/>
          </w:tcPr>
          <w:p w14:paraId="3A342C57">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sz w:val="32"/>
                <w:szCs w:val="32"/>
              </w:rPr>
            </w:pPr>
            <w:r>
              <w:rPr>
                <w:rFonts w:hint="default" w:ascii="Times New Roman" w:hAnsi="Times New Roman" w:eastAsia="方正仿宋_GBK" w:cs="Times New Roman"/>
                <w:color w:val="000000"/>
                <w:spacing w:val="-6"/>
                <w:kern w:val="0"/>
                <w:sz w:val="32"/>
                <w:szCs w:val="32"/>
                <w:lang w:bidi="ar"/>
              </w:rPr>
              <w:t>《六安市物业管理条例》第四十一条第二款  占用业主共有的道路或者其他场地停放汽车的，应当按照规定施划停车位。物业服务企业或者业主委员会应当向自然资源和规划、应急管理、公安机关交通管理等部门报送车位施划方案，相关部门应当提出指导意见。</w:t>
            </w:r>
          </w:p>
        </w:tc>
      </w:tr>
      <w:tr w14:paraId="768AE386">
        <w:tblPrEx>
          <w:tblCellMar>
            <w:top w:w="0" w:type="dxa"/>
            <w:left w:w="108" w:type="dxa"/>
            <w:bottom w:w="0" w:type="dxa"/>
            <w:right w:w="108" w:type="dxa"/>
          </w:tblCellMar>
        </w:tblPrEx>
        <w:trPr>
          <w:trHeight w:val="570" w:hRule="atLeast"/>
        </w:trPr>
        <w:tc>
          <w:tcPr>
            <w:tcW w:w="687" w:type="dxa"/>
            <w:vMerge w:val="continue"/>
            <w:tcBorders>
              <w:top w:val="single" w:color="000000" w:sz="4" w:space="0"/>
              <w:left w:val="single" w:color="000000" w:sz="4" w:space="0"/>
              <w:bottom w:val="single" w:color="000000" w:sz="4" w:space="0"/>
              <w:right w:val="single" w:color="000000" w:sz="4" w:space="0"/>
            </w:tcBorders>
            <w:noWrap/>
            <w:vAlign w:val="center"/>
          </w:tcPr>
          <w:p w14:paraId="05056497">
            <w:pPr>
              <w:keepNext w:val="0"/>
              <w:keepLines w:val="0"/>
              <w:pageBreakBefore w:val="0"/>
              <w:kinsoku/>
              <w:wordWrap/>
              <w:overflowPunct/>
              <w:topLinePunct w:val="0"/>
              <w:autoSpaceDE/>
              <w:autoSpaceDN/>
              <w:bidi w:val="0"/>
              <w:adjustRightInd/>
              <w:snapToGrid/>
              <w:spacing w:line="590" w:lineRule="exact"/>
              <w:ind w:left="0" w:leftChars="0" w:firstLine="0" w:firstLineChars="0"/>
              <w:jc w:val="center"/>
              <w:rPr>
                <w:rFonts w:hint="default" w:ascii="Times New Roman" w:hAnsi="Times New Roman" w:eastAsia="方正仿宋_GBK" w:cs="Times New Roman"/>
                <w:b/>
                <w:bCs/>
                <w:color w:val="000000"/>
                <w:spacing w:val="-6"/>
                <w:sz w:val="32"/>
                <w:szCs w:val="32"/>
              </w:rPr>
            </w:pPr>
          </w:p>
        </w:tc>
        <w:tc>
          <w:tcPr>
            <w:tcW w:w="3975" w:type="dxa"/>
            <w:vMerge w:val="continue"/>
            <w:tcBorders>
              <w:top w:val="single" w:color="000000" w:sz="4" w:space="0"/>
              <w:left w:val="single" w:color="000000" w:sz="4" w:space="0"/>
              <w:bottom w:val="single" w:color="000000" w:sz="4" w:space="0"/>
              <w:right w:val="single" w:color="000000" w:sz="4" w:space="0"/>
            </w:tcBorders>
            <w:noWrap w:val="0"/>
            <w:vAlign w:val="center"/>
          </w:tcPr>
          <w:p w14:paraId="6A0B4649">
            <w:pPr>
              <w:keepNext w:val="0"/>
              <w:keepLines w:val="0"/>
              <w:pageBreakBefore w:val="0"/>
              <w:kinsoku/>
              <w:wordWrap/>
              <w:overflowPunct/>
              <w:topLinePunct w:val="0"/>
              <w:autoSpaceDE/>
              <w:autoSpaceDN/>
              <w:bidi w:val="0"/>
              <w:adjustRightInd/>
              <w:snapToGrid/>
              <w:spacing w:line="590" w:lineRule="exact"/>
              <w:ind w:left="0" w:leftChars="0" w:firstLine="0" w:firstLineChars="0"/>
              <w:jc w:val="left"/>
              <w:rPr>
                <w:rFonts w:hint="default" w:ascii="Times New Roman" w:hAnsi="Times New Roman" w:eastAsia="方正仿宋_GBK" w:cs="Times New Roman"/>
                <w:color w:val="000000"/>
                <w:spacing w:val="-6"/>
                <w:sz w:val="32"/>
                <w:szCs w:val="32"/>
              </w:rPr>
            </w:pPr>
          </w:p>
        </w:tc>
        <w:tc>
          <w:tcPr>
            <w:tcW w:w="10110" w:type="dxa"/>
            <w:tcBorders>
              <w:top w:val="single" w:color="000000" w:sz="4" w:space="0"/>
              <w:left w:val="single" w:color="000000" w:sz="4" w:space="0"/>
              <w:bottom w:val="single" w:color="000000" w:sz="4" w:space="0"/>
              <w:right w:val="single" w:color="000000" w:sz="4" w:space="0"/>
            </w:tcBorders>
            <w:noWrap w:val="0"/>
            <w:vAlign w:val="center"/>
          </w:tcPr>
          <w:p w14:paraId="6D44BF02">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sz w:val="32"/>
                <w:szCs w:val="32"/>
              </w:rPr>
            </w:pPr>
            <w:r>
              <w:rPr>
                <w:rFonts w:hint="default" w:ascii="Times New Roman" w:hAnsi="Times New Roman" w:eastAsia="方正仿宋_GBK" w:cs="Times New Roman"/>
                <w:color w:val="000000"/>
                <w:spacing w:val="-6"/>
                <w:kern w:val="0"/>
                <w:sz w:val="32"/>
                <w:szCs w:val="32"/>
                <w:lang w:bidi="ar"/>
              </w:rPr>
              <w:t>《六安市物业管理条例》第五十条第二款  违反本条例第三十七条第一款第四项的规定，擅自改变业主自有建筑物及其附属设施用途的，由业主委员会根据管理规约约定进行协调、处理；协调处理不成的，由物业管理行政主管部门或者其他依法行使监督管理权的部门责令改正，恢复原状；情节严重的，可以处五千元以上二万元以下的罚款。</w:t>
            </w:r>
          </w:p>
        </w:tc>
      </w:tr>
      <w:tr w14:paraId="2462D277">
        <w:tblPrEx>
          <w:tblCellMar>
            <w:top w:w="0" w:type="dxa"/>
            <w:left w:w="108" w:type="dxa"/>
            <w:bottom w:w="0" w:type="dxa"/>
            <w:right w:w="108" w:type="dxa"/>
          </w:tblCellMar>
        </w:tblPrEx>
        <w:trPr>
          <w:trHeight w:val="1337" w:hRule="atLeast"/>
        </w:trPr>
        <w:tc>
          <w:tcPr>
            <w:tcW w:w="687" w:type="dxa"/>
            <w:vMerge w:val="continue"/>
            <w:tcBorders>
              <w:top w:val="single" w:color="000000" w:sz="4" w:space="0"/>
              <w:left w:val="single" w:color="000000" w:sz="4" w:space="0"/>
              <w:bottom w:val="single" w:color="000000" w:sz="4" w:space="0"/>
              <w:right w:val="single" w:color="000000" w:sz="4" w:space="0"/>
            </w:tcBorders>
            <w:noWrap/>
            <w:vAlign w:val="center"/>
          </w:tcPr>
          <w:p w14:paraId="0EC8F2A2">
            <w:pPr>
              <w:keepNext w:val="0"/>
              <w:keepLines w:val="0"/>
              <w:pageBreakBefore w:val="0"/>
              <w:kinsoku/>
              <w:wordWrap/>
              <w:overflowPunct/>
              <w:topLinePunct w:val="0"/>
              <w:autoSpaceDE/>
              <w:autoSpaceDN/>
              <w:bidi w:val="0"/>
              <w:adjustRightInd/>
              <w:snapToGrid/>
              <w:spacing w:line="590" w:lineRule="exact"/>
              <w:ind w:left="0" w:leftChars="0" w:firstLine="0" w:firstLineChars="0"/>
              <w:jc w:val="center"/>
              <w:rPr>
                <w:rFonts w:hint="default" w:ascii="Times New Roman" w:hAnsi="Times New Roman" w:eastAsia="方正仿宋_GBK" w:cs="Times New Roman"/>
                <w:b/>
                <w:bCs/>
                <w:color w:val="000000"/>
                <w:spacing w:val="-6"/>
                <w:sz w:val="32"/>
                <w:szCs w:val="32"/>
              </w:rPr>
            </w:pPr>
          </w:p>
        </w:tc>
        <w:tc>
          <w:tcPr>
            <w:tcW w:w="3975" w:type="dxa"/>
            <w:vMerge w:val="continue"/>
            <w:tcBorders>
              <w:top w:val="single" w:color="000000" w:sz="4" w:space="0"/>
              <w:left w:val="single" w:color="000000" w:sz="4" w:space="0"/>
              <w:bottom w:val="single" w:color="000000" w:sz="4" w:space="0"/>
              <w:right w:val="single" w:color="000000" w:sz="4" w:space="0"/>
            </w:tcBorders>
            <w:noWrap w:val="0"/>
            <w:vAlign w:val="center"/>
          </w:tcPr>
          <w:p w14:paraId="5F8FA159">
            <w:pPr>
              <w:keepNext w:val="0"/>
              <w:keepLines w:val="0"/>
              <w:pageBreakBefore w:val="0"/>
              <w:kinsoku/>
              <w:wordWrap/>
              <w:overflowPunct/>
              <w:topLinePunct w:val="0"/>
              <w:autoSpaceDE/>
              <w:autoSpaceDN/>
              <w:bidi w:val="0"/>
              <w:adjustRightInd/>
              <w:snapToGrid/>
              <w:spacing w:line="590" w:lineRule="exact"/>
              <w:ind w:left="0" w:leftChars="0" w:firstLine="0" w:firstLineChars="0"/>
              <w:jc w:val="left"/>
              <w:rPr>
                <w:rFonts w:hint="default" w:ascii="Times New Roman" w:hAnsi="Times New Roman" w:eastAsia="方正仿宋_GBK" w:cs="Times New Roman"/>
                <w:color w:val="000000"/>
                <w:spacing w:val="-6"/>
                <w:sz w:val="32"/>
                <w:szCs w:val="32"/>
              </w:rPr>
            </w:pPr>
          </w:p>
        </w:tc>
        <w:tc>
          <w:tcPr>
            <w:tcW w:w="10110" w:type="dxa"/>
            <w:tcBorders>
              <w:top w:val="single" w:color="000000" w:sz="4" w:space="0"/>
              <w:left w:val="single" w:color="000000" w:sz="4" w:space="0"/>
              <w:bottom w:val="single" w:color="000000" w:sz="4" w:space="0"/>
              <w:right w:val="single" w:color="000000" w:sz="4" w:space="0"/>
            </w:tcBorders>
            <w:noWrap w:val="0"/>
            <w:vAlign w:val="center"/>
          </w:tcPr>
          <w:p w14:paraId="36F2C7B6">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《六安市养犬管理条例》第六条  居民委员会、村民委员会和业主委员会、物业服务企业应当做好下列工作：</w:t>
            </w:r>
          </w:p>
          <w:p w14:paraId="078F42CA">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（一）开展依法养犬、文明养犬的宣传教育；</w:t>
            </w:r>
          </w:p>
          <w:p w14:paraId="17762FFC">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（二）协助收集有关养犬的信息；</w:t>
            </w:r>
          </w:p>
          <w:p w14:paraId="2A651A45">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（三）就本区域内养犬管理有关事项制定公约并监督执行；</w:t>
            </w:r>
          </w:p>
          <w:p w14:paraId="30336316">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（四）劝阻、制止违法养犬行为，劝阻、制止无效的，及时向有关部门报告；</w:t>
            </w:r>
          </w:p>
          <w:p w14:paraId="4FCD99AA">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（五）依法调解因养犬引起的纠纷；</w:t>
            </w:r>
          </w:p>
          <w:p w14:paraId="58A41D5F">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kern w:val="0"/>
                <w:sz w:val="32"/>
                <w:szCs w:val="32"/>
                <w:lang w:bidi="ar"/>
              </w:rPr>
            </w:pPr>
            <w:r>
              <w:rPr>
                <w:rFonts w:hint="default" w:ascii="Times New Roman" w:hAnsi="Times New Roman" w:eastAsia="方正仿宋_GBK" w:cs="Times New Roman"/>
                <w:color w:val="000000"/>
                <w:spacing w:val="-6"/>
                <w:kern w:val="0"/>
                <w:sz w:val="32"/>
                <w:szCs w:val="32"/>
                <w:lang w:bidi="ar"/>
              </w:rPr>
              <w:t>（六）其他养犬管理相关工作。</w:t>
            </w:r>
          </w:p>
          <w:p w14:paraId="2A9A38B5">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sz w:val="32"/>
                <w:szCs w:val="32"/>
              </w:rPr>
            </w:pPr>
            <w:r>
              <w:rPr>
                <w:rFonts w:hint="default" w:ascii="Times New Roman" w:hAnsi="Times New Roman" w:eastAsia="方正仿宋_GBK" w:cs="Times New Roman"/>
                <w:color w:val="000000"/>
                <w:spacing w:val="-6"/>
                <w:kern w:val="0"/>
                <w:sz w:val="32"/>
                <w:szCs w:val="32"/>
                <w:lang w:bidi="ar"/>
              </w:rPr>
              <w:t>鼓励相关行业协会、动物保护组织等社会组织依法参与养犬管理活动，协助有关管理部门做好养犬管理工作。</w:t>
            </w:r>
          </w:p>
        </w:tc>
      </w:tr>
      <w:tr w14:paraId="202CD51F">
        <w:tblPrEx>
          <w:tblCellMar>
            <w:top w:w="0" w:type="dxa"/>
            <w:left w:w="108" w:type="dxa"/>
            <w:bottom w:w="0" w:type="dxa"/>
            <w:right w:w="108" w:type="dxa"/>
          </w:tblCellMar>
        </w:tblPrEx>
        <w:trPr>
          <w:trHeight w:val="570" w:hRule="atLeast"/>
        </w:trPr>
        <w:tc>
          <w:tcPr>
            <w:tcW w:w="687" w:type="dxa"/>
            <w:vMerge w:val="continue"/>
            <w:tcBorders>
              <w:top w:val="single" w:color="000000" w:sz="4" w:space="0"/>
              <w:left w:val="single" w:color="000000" w:sz="4" w:space="0"/>
              <w:bottom w:val="single" w:color="000000" w:sz="4" w:space="0"/>
              <w:right w:val="single" w:color="000000" w:sz="4" w:space="0"/>
            </w:tcBorders>
            <w:noWrap/>
            <w:vAlign w:val="center"/>
          </w:tcPr>
          <w:p w14:paraId="48166A73">
            <w:pPr>
              <w:keepNext w:val="0"/>
              <w:keepLines w:val="0"/>
              <w:pageBreakBefore w:val="0"/>
              <w:kinsoku/>
              <w:wordWrap/>
              <w:overflowPunct/>
              <w:topLinePunct w:val="0"/>
              <w:autoSpaceDE/>
              <w:autoSpaceDN/>
              <w:bidi w:val="0"/>
              <w:adjustRightInd/>
              <w:snapToGrid/>
              <w:spacing w:line="590" w:lineRule="exact"/>
              <w:ind w:left="0" w:leftChars="0" w:firstLine="0" w:firstLineChars="0"/>
              <w:jc w:val="center"/>
              <w:rPr>
                <w:rFonts w:hint="default" w:ascii="Times New Roman" w:hAnsi="Times New Roman" w:eastAsia="方正仿宋_GBK" w:cs="Times New Roman"/>
                <w:b/>
                <w:bCs/>
                <w:color w:val="000000"/>
                <w:spacing w:val="-6"/>
                <w:sz w:val="32"/>
                <w:szCs w:val="32"/>
              </w:rPr>
            </w:pPr>
          </w:p>
        </w:tc>
        <w:tc>
          <w:tcPr>
            <w:tcW w:w="3975" w:type="dxa"/>
            <w:vMerge w:val="continue"/>
            <w:tcBorders>
              <w:top w:val="single" w:color="000000" w:sz="4" w:space="0"/>
              <w:left w:val="single" w:color="000000" w:sz="4" w:space="0"/>
              <w:bottom w:val="single" w:color="000000" w:sz="4" w:space="0"/>
              <w:right w:val="single" w:color="000000" w:sz="4" w:space="0"/>
            </w:tcBorders>
            <w:noWrap w:val="0"/>
            <w:vAlign w:val="center"/>
          </w:tcPr>
          <w:p w14:paraId="4311DCF4">
            <w:pPr>
              <w:keepNext w:val="0"/>
              <w:keepLines w:val="0"/>
              <w:pageBreakBefore w:val="0"/>
              <w:kinsoku/>
              <w:wordWrap/>
              <w:overflowPunct/>
              <w:topLinePunct w:val="0"/>
              <w:autoSpaceDE/>
              <w:autoSpaceDN/>
              <w:bidi w:val="0"/>
              <w:adjustRightInd/>
              <w:snapToGrid/>
              <w:spacing w:line="590" w:lineRule="exact"/>
              <w:ind w:left="0" w:leftChars="0" w:firstLine="0" w:firstLineChars="0"/>
              <w:jc w:val="left"/>
              <w:rPr>
                <w:rFonts w:hint="default" w:ascii="Times New Roman" w:hAnsi="Times New Roman" w:eastAsia="方正仿宋_GBK" w:cs="Times New Roman"/>
                <w:color w:val="000000"/>
                <w:spacing w:val="-6"/>
                <w:sz w:val="32"/>
                <w:szCs w:val="32"/>
              </w:rPr>
            </w:pPr>
          </w:p>
        </w:tc>
        <w:tc>
          <w:tcPr>
            <w:tcW w:w="10110" w:type="dxa"/>
            <w:tcBorders>
              <w:top w:val="single" w:color="000000" w:sz="4" w:space="0"/>
              <w:left w:val="single" w:color="000000" w:sz="4" w:space="0"/>
              <w:bottom w:val="single" w:color="000000" w:sz="4" w:space="0"/>
              <w:right w:val="single" w:color="000000" w:sz="4" w:space="0"/>
            </w:tcBorders>
            <w:noWrap w:val="0"/>
            <w:vAlign w:val="center"/>
          </w:tcPr>
          <w:p w14:paraId="1FA4F8AB">
            <w:pPr>
              <w:keepNext w:val="0"/>
              <w:keepLines w:val="0"/>
              <w:pageBreakBefore w:val="0"/>
              <w:widowControl/>
              <w:kinsoku/>
              <w:wordWrap/>
              <w:overflowPunct/>
              <w:topLinePunct w:val="0"/>
              <w:autoSpaceDE/>
              <w:autoSpaceDN/>
              <w:bidi w:val="0"/>
              <w:adjustRightInd/>
              <w:snapToGrid/>
              <w:spacing w:line="590" w:lineRule="exact"/>
              <w:ind w:left="0" w:leftChars="0" w:firstLine="0" w:firstLineChars="0"/>
              <w:jc w:val="left"/>
              <w:textAlignment w:val="center"/>
              <w:rPr>
                <w:rFonts w:hint="default" w:ascii="Times New Roman" w:hAnsi="Times New Roman" w:eastAsia="方正仿宋_GBK" w:cs="Times New Roman"/>
                <w:color w:val="000000"/>
                <w:spacing w:val="-6"/>
                <w:sz w:val="32"/>
                <w:szCs w:val="32"/>
              </w:rPr>
            </w:pPr>
            <w:r>
              <w:rPr>
                <w:rFonts w:hint="default" w:ascii="Times New Roman" w:hAnsi="Times New Roman" w:eastAsia="方正仿宋_GBK" w:cs="Times New Roman"/>
                <w:color w:val="000000"/>
                <w:spacing w:val="-6"/>
                <w:kern w:val="0"/>
                <w:sz w:val="32"/>
                <w:szCs w:val="32"/>
                <w:lang w:bidi="ar"/>
              </w:rPr>
              <w:t>《六安市燃放烟花爆竹管理条例》第五条第二款  居(村)民委员会、业主委员会应当协助做好燃放烟花爆竹管理工作，发现和劝阻违法燃放行为，并可以组织管理或者服务区域的居民、村民以及机关单位制定燃放烟花爆竹安全管理公约。</w:t>
            </w:r>
          </w:p>
        </w:tc>
      </w:tr>
    </w:tbl>
    <w:p w14:paraId="2A2BC4D9">
      <w:pPr>
        <w:keepNext w:val="0"/>
        <w:keepLines w:val="0"/>
        <w:pageBreakBefore w:val="0"/>
        <w:kinsoku/>
        <w:overflowPunct/>
        <w:topLinePunct w:val="0"/>
        <w:autoSpaceDN/>
        <w:bidi w:val="0"/>
        <w:adjustRightInd/>
        <w:snapToGrid/>
        <w:spacing w:line="590" w:lineRule="exact"/>
        <w:ind w:left="0" w:leftChars="0" w:firstLine="640" w:firstLineChars="200"/>
        <w:jc w:val="center"/>
        <w:rPr>
          <w:rFonts w:hint="default" w:ascii="Times New Roman" w:hAnsi="Times New Roman" w:eastAsia="方正仿宋_GBK" w:cs="Times New Roman"/>
          <w:sz w:val="32"/>
          <w:szCs w:val="32"/>
        </w:rPr>
        <w:sectPr>
          <w:pgSz w:w="16838" w:h="11906" w:orient="landscape"/>
          <w:pgMar w:top="1230" w:right="947" w:bottom="1230" w:left="1117" w:header="851" w:footer="992" w:gutter="0"/>
          <w:cols w:space="720" w:num="1"/>
          <w:docGrid w:type="lines" w:linePitch="449" w:charSpace="0"/>
        </w:sectPr>
      </w:pPr>
    </w:p>
    <w:p w14:paraId="394ACA4F">
      <w:pPr>
        <w:bidi w:val="0"/>
        <w:jc w:val="left"/>
        <w:rPr>
          <w:rFonts w:hint="default" w:ascii="Times New Roman" w:hAnsi="Times New Roman" w:eastAsia="方正仿宋_GBK" w:cs="Times New Roman"/>
          <w:sz w:val="32"/>
          <w:szCs w:val="32"/>
          <w:lang w:val="en-US" w:eastAsia="zh-CN"/>
        </w:rPr>
      </w:pPr>
    </w:p>
    <w:p w14:paraId="06D2139F">
      <w:pPr>
        <w:bidi w:val="0"/>
        <w:jc w:val="left"/>
        <w:rPr>
          <w:rFonts w:hint="default" w:ascii="Times New Roman" w:hAnsi="Times New Roman" w:eastAsia="方正仿宋_GBK" w:cs="Times New Roman"/>
          <w:sz w:val="32"/>
          <w:szCs w:val="32"/>
          <w:lang w:val="en-US" w:eastAsia="zh-CN"/>
        </w:rPr>
      </w:pPr>
    </w:p>
    <w:p w14:paraId="629D647B">
      <w:pPr>
        <w:bidi w:val="0"/>
        <w:jc w:val="left"/>
        <w:rPr>
          <w:rFonts w:hint="default" w:ascii="Times New Roman" w:hAnsi="Times New Roman" w:eastAsia="方正仿宋_GBK" w:cs="Times New Roman"/>
          <w:sz w:val="32"/>
          <w:szCs w:val="32"/>
          <w:lang w:val="en-US" w:eastAsia="zh-CN"/>
        </w:rPr>
      </w:pPr>
    </w:p>
    <w:p w14:paraId="27E1E5EF">
      <w:pPr>
        <w:bidi w:val="0"/>
        <w:jc w:val="left"/>
        <w:rPr>
          <w:rFonts w:hint="default" w:ascii="Times New Roman" w:hAnsi="Times New Roman" w:eastAsia="方正仿宋_GBK" w:cs="Times New Roman"/>
          <w:sz w:val="32"/>
          <w:szCs w:val="32"/>
          <w:lang w:val="en-US" w:eastAsia="zh-CN"/>
        </w:rPr>
      </w:pPr>
    </w:p>
    <w:p w14:paraId="0CCEB8A9">
      <w:pPr>
        <w:bidi w:val="0"/>
        <w:jc w:val="left"/>
        <w:rPr>
          <w:rFonts w:hint="default" w:ascii="Times New Roman" w:hAnsi="Times New Roman" w:eastAsia="方正仿宋_GBK" w:cs="Times New Roman"/>
          <w:sz w:val="32"/>
          <w:szCs w:val="32"/>
          <w:lang w:val="en-US" w:eastAsia="zh-CN"/>
        </w:rPr>
      </w:pPr>
    </w:p>
    <w:p w14:paraId="4BE8FBD2">
      <w:pPr>
        <w:bidi w:val="0"/>
        <w:jc w:val="left"/>
        <w:rPr>
          <w:rFonts w:hint="default" w:ascii="Times New Roman" w:hAnsi="Times New Roman" w:eastAsia="方正仿宋_GBK" w:cs="Times New Roman"/>
          <w:sz w:val="32"/>
          <w:szCs w:val="32"/>
          <w:lang w:val="en-US" w:eastAsia="zh-CN"/>
        </w:rPr>
      </w:pPr>
    </w:p>
    <w:p w14:paraId="5F2E9828">
      <w:pPr>
        <w:bidi w:val="0"/>
        <w:jc w:val="left"/>
        <w:rPr>
          <w:rFonts w:hint="default" w:ascii="Times New Roman" w:hAnsi="Times New Roman" w:eastAsia="方正仿宋_GBK" w:cs="Times New Roman"/>
          <w:sz w:val="32"/>
          <w:szCs w:val="32"/>
          <w:lang w:val="en-US" w:eastAsia="zh-CN"/>
        </w:rPr>
      </w:pPr>
    </w:p>
    <w:p w14:paraId="77EC5AFF">
      <w:pPr>
        <w:bidi w:val="0"/>
        <w:jc w:val="left"/>
        <w:rPr>
          <w:rFonts w:hint="default" w:ascii="Times New Roman" w:hAnsi="Times New Roman" w:eastAsia="方正仿宋_GBK" w:cs="Times New Roman"/>
          <w:sz w:val="32"/>
          <w:szCs w:val="32"/>
          <w:lang w:val="en-US" w:eastAsia="zh-CN"/>
        </w:rPr>
      </w:pPr>
    </w:p>
    <w:p w14:paraId="58E75B28">
      <w:pPr>
        <w:bidi w:val="0"/>
        <w:jc w:val="left"/>
        <w:rPr>
          <w:rFonts w:hint="default" w:ascii="Times New Roman" w:hAnsi="Times New Roman" w:eastAsia="方正仿宋_GBK" w:cs="Times New Roman"/>
          <w:sz w:val="32"/>
          <w:szCs w:val="32"/>
          <w:lang w:val="en-US" w:eastAsia="zh-CN"/>
        </w:rPr>
      </w:pPr>
    </w:p>
    <w:p w14:paraId="1F357BEF">
      <w:pPr>
        <w:bidi w:val="0"/>
        <w:jc w:val="left"/>
        <w:rPr>
          <w:rFonts w:hint="default" w:ascii="Times New Roman" w:hAnsi="Times New Roman" w:eastAsia="方正仿宋_GBK" w:cs="Times New Roman"/>
          <w:sz w:val="32"/>
          <w:szCs w:val="32"/>
          <w:lang w:val="en-US" w:eastAsia="zh-CN"/>
        </w:rPr>
      </w:pPr>
    </w:p>
    <w:p w14:paraId="3EE754D4">
      <w:pPr>
        <w:bidi w:val="0"/>
        <w:jc w:val="left"/>
        <w:rPr>
          <w:rFonts w:hint="default" w:ascii="Times New Roman" w:hAnsi="Times New Roman" w:eastAsia="方正仿宋_GBK" w:cs="Times New Roman"/>
          <w:sz w:val="32"/>
          <w:szCs w:val="32"/>
          <w:lang w:val="en-US" w:eastAsia="zh-CN"/>
        </w:rPr>
      </w:pPr>
    </w:p>
    <w:p w14:paraId="01958672">
      <w:pPr>
        <w:bidi w:val="0"/>
        <w:jc w:val="left"/>
        <w:rPr>
          <w:rFonts w:hint="default" w:ascii="Times New Roman" w:hAnsi="Times New Roman" w:eastAsia="方正仿宋_GBK" w:cs="Times New Roman"/>
          <w:sz w:val="32"/>
          <w:szCs w:val="32"/>
          <w:lang w:val="en-US" w:eastAsia="zh-CN"/>
        </w:rPr>
      </w:pPr>
    </w:p>
    <w:p w14:paraId="7715F84E">
      <w:pPr>
        <w:bidi w:val="0"/>
        <w:jc w:val="left"/>
        <w:rPr>
          <w:rFonts w:hint="default" w:ascii="Times New Roman" w:hAnsi="Times New Roman" w:eastAsia="方正仿宋_GBK" w:cs="Times New Roman"/>
          <w:sz w:val="32"/>
          <w:szCs w:val="32"/>
          <w:lang w:val="en-US" w:eastAsia="zh-CN"/>
        </w:rPr>
      </w:pPr>
    </w:p>
    <w:p w14:paraId="7800FF63">
      <w:pPr>
        <w:bidi w:val="0"/>
        <w:jc w:val="left"/>
        <w:rPr>
          <w:rFonts w:hint="default" w:ascii="Times New Roman" w:hAnsi="Times New Roman" w:eastAsia="方正仿宋_GBK" w:cs="Times New Roman"/>
          <w:sz w:val="32"/>
          <w:szCs w:val="32"/>
          <w:lang w:val="en-US" w:eastAsia="zh-CN"/>
        </w:rPr>
      </w:pPr>
    </w:p>
    <w:p w14:paraId="1FD53690">
      <w:pPr>
        <w:bidi w:val="0"/>
        <w:jc w:val="left"/>
        <w:rPr>
          <w:rFonts w:hint="default" w:ascii="Times New Roman" w:hAnsi="Times New Roman" w:eastAsia="方正仿宋_GBK" w:cs="Times New Roman"/>
          <w:sz w:val="32"/>
          <w:szCs w:val="32"/>
          <w:lang w:val="en-US" w:eastAsia="zh-CN"/>
        </w:rPr>
      </w:pPr>
    </w:p>
    <w:p w14:paraId="6233F15B">
      <w:pPr>
        <w:bidi w:val="0"/>
        <w:jc w:val="left"/>
        <w:rPr>
          <w:rFonts w:hint="default" w:ascii="Times New Roman" w:hAnsi="Times New Roman" w:eastAsia="方正仿宋_GBK" w:cs="Times New Roman"/>
          <w:sz w:val="32"/>
          <w:szCs w:val="32"/>
          <w:lang w:val="en-US" w:eastAsia="zh-CN"/>
        </w:rPr>
      </w:pPr>
    </w:p>
    <w:p w14:paraId="48EBB015">
      <w:pPr>
        <w:bidi w:val="0"/>
        <w:jc w:val="left"/>
        <w:rPr>
          <w:rFonts w:hint="default" w:ascii="Times New Roman" w:hAnsi="Times New Roman" w:eastAsia="方正仿宋_GBK" w:cs="Times New Roman"/>
          <w:sz w:val="32"/>
          <w:szCs w:val="32"/>
          <w:lang w:val="en-US" w:eastAsia="zh-CN"/>
        </w:rPr>
      </w:pPr>
    </w:p>
    <w:p w14:paraId="73526DAD">
      <w:pPr>
        <w:bidi w:val="0"/>
        <w:jc w:val="left"/>
        <w:rPr>
          <w:rFonts w:hint="default" w:ascii="Times New Roman" w:hAnsi="Times New Roman" w:eastAsia="方正仿宋_GBK" w:cs="Times New Roman"/>
          <w:sz w:val="32"/>
          <w:szCs w:val="32"/>
          <w:lang w:val="en-US" w:eastAsia="zh-CN"/>
        </w:rPr>
      </w:pPr>
    </w:p>
    <w:p w14:paraId="6EBE23C5">
      <w:pPr>
        <w:keepNext w:val="0"/>
        <w:keepLines w:val="0"/>
        <w:pageBreakBefore w:val="0"/>
        <w:kinsoku/>
        <w:overflowPunct/>
        <w:topLinePunct w:val="0"/>
        <w:autoSpaceDN/>
        <w:bidi w:val="0"/>
        <w:adjustRightInd/>
        <w:snapToGrid/>
        <w:spacing w:line="590" w:lineRule="exact"/>
        <w:jc w:val="left"/>
        <w:rPr>
          <w:rFonts w:hint="default" w:ascii="Times New Roman" w:hAnsi="Times New Roman" w:eastAsia="方正仿宋_GBK" w:cs="Times New Roman"/>
          <w:color w:val="000000"/>
          <w:sz w:val="32"/>
          <w:szCs w:val="32"/>
        </w:rPr>
      </w:pPr>
    </w:p>
    <w:p w14:paraId="68B94D93">
      <w:pPr>
        <w:keepNext w:val="0"/>
        <w:keepLines w:val="0"/>
        <w:pageBreakBefore w:val="0"/>
        <w:kinsoku/>
        <w:overflowPunct/>
        <w:topLinePunct w:val="0"/>
        <w:autoSpaceDN/>
        <w:bidi w:val="0"/>
        <w:adjustRightInd/>
        <w:snapToGrid/>
        <w:spacing w:line="590" w:lineRule="exact"/>
        <w:jc w:val="left"/>
        <w:rPr>
          <w:rFonts w:hint="default" w:ascii="Times New Roman" w:hAnsi="Times New Roman" w:eastAsia="方正仿宋_GBK" w:cs="Times New Roman"/>
          <w:color w:val="000000"/>
          <w:sz w:val="32"/>
          <w:szCs w:val="32"/>
          <w:lang w:val="en-US" w:eastAsia="zh-CN"/>
        </w:rPr>
      </w:pPr>
      <w:r>
        <w:rPr>
          <w:rFonts w:hint="default" w:ascii="Times New Roman" w:hAnsi="Times New Roman" w:eastAsia="方正仿宋_GBK" w:cs="Times New Roman"/>
          <w:color w:val="000000"/>
          <w:sz w:val="32"/>
          <w:szCs w:val="32"/>
        </w:rPr>
        <w:t>抄送：市“皖美红色物业”建设工作联席会议成员单位、各县区政府办、市物业管理协会。</w:t>
      </w:r>
    </w:p>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panose1 w:val="03000509000000000000"/>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黑体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27FC97">
    <w:pPr>
      <w:pStyle w:val="5"/>
      <w:jc w:val="right"/>
      <w:rPr>
        <w:rStyle w:val="10"/>
        <w:rFonts w:hint="eastAsia" w:ascii="Times New Roman" w:hAnsi="Times New Roman" w:eastAsia="宋体" w:cs="Times New Roman"/>
        <w:sz w:val="28"/>
        <w:szCs w:val="32"/>
      </w:rPr>
    </w:pPr>
    <w:r>
      <w:rPr>
        <w:rStyle w:val="10"/>
        <w:rFonts w:hint="eastAsia" w:ascii="Times New Roman" w:hAnsi="Times New Roman" w:eastAsia="宋体" w:cs="Times New Roman"/>
        <w:sz w:val="28"/>
        <w:szCs w:val="32"/>
      </w:rPr>
      <w:t xml:space="preserve">— </w:t>
    </w:r>
    <w:r>
      <w:rPr>
        <w:rStyle w:val="10"/>
        <w:rFonts w:hint="eastAsia" w:ascii="Times New Roman" w:hAnsi="Times New Roman" w:eastAsia="宋体" w:cs="Times New Roman"/>
        <w:sz w:val="28"/>
        <w:szCs w:val="32"/>
      </w:rPr>
      <w:fldChar w:fldCharType="begin"/>
    </w:r>
    <w:r>
      <w:rPr>
        <w:rStyle w:val="10"/>
        <w:rFonts w:hint="eastAsia" w:ascii="Times New Roman" w:hAnsi="Times New Roman" w:eastAsia="宋体" w:cs="Times New Roman"/>
        <w:sz w:val="28"/>
        <w:szCs w:val="32"/>
      </w:rPr>
      <w:instrText xml:space="preserve">PAGE  </w:instrText>
    </w:r>
    <w:r>
      <w:rPr>
        <w:rStyle w:val="10"/>
        <w:rFonts w:hint="eastAsia" w:ascii="Times New Roman" w:hAnsi="Times New Roman" w:eastAsia="宋体" w:cs="Times New Roman"/>
        <w:sz w:val="28"/>
        <w:szCs w:val="32"/>
      </w:rPr>
      <w:fldChar w:fldCharType="separate"/>
    </w:r>
    <w:r>
      <w:rPr>
        <w:rStyle w:val="10"/>
        <w:rFonts w:hint="eastAsia" w:ascii="Times New Roman" w:hAnsi="Times New Roman" w:eastAsia="宋体" w:cs="Times New Roman"/>
        <w:sz w:val="28"/>
        <w:szCs w:val="32"/>
      </w:rPr>
      <w:t>6</w:t>
    </w:r>
    <w:r>
      <w:rPr>
        <w:rStyle w:val="10"/>
        <w:rFonts w:hint="eastAsia" w:ascii="Times New Roman" w:hAnsi="Times New Roman" w:eastAsia="宋体" w:cs="Times New Roman"/>
        <w:sz w:val="28"/>
        <w:szCs w:val="32"/>
      </w:rPr>
      <w:fldChar w:fldCharType="end"/>
    </w:r>
    <w:r>
      <w:rPr>
        <w:rStyle w:val="10"/>
        <w:rFonts w:hint="eastAsia" w:ascii="Times New Roman" w:hAnsi="Times New Roman" w:eastAsia="宋体" w:cs="Times New Roman"/>
        <w:sz w:val="28"/>
        <w:szCs w:val="32"/>
      </w:rPr>
      <w:t xml:space="preserve"> —</w:t>
    </w:r>
  </w:p>
  <w:p w14:paraId="7AF29304">
    <w:pPr>
      <w:pStyle w:val="5"/>
      <w:ind w:right="360" w:firstLine="360"/>
      <w:jc w:val="right"/>
      <w:rPr>
        <w:rFonts w:hint="eastAsia" w:eastAsia="仿宋"/>
        <w:color w:val="FAFAFA"/>
        <w:sz w:val="32"/>
        <w:szCs w:val="48"/>
      </w:rPr>
    </w:pPr>
    <w:r>
      <w:rPr>
        <w:color w:val="FAFAFA"/>
        <w:sz w:val="32"/>
      </w:rPr>
      <mc:AlternateContent>
        <mc:Choice Requires="wps">
          <w:drawing>
            <wp:anchor distT="0" distB="0" distL="114300" distR="114300" simplePos="0" relativeHeight="251660288" behindDoc="0" locked="0" layoutInCell="1" allowOverlap="1">
              <wp:simplePos x="0" y="0"/>
              <wp:positionH relativeFrom="column">
                <wp:posOffset>-8255</wp:posOffset>
              </wp:positionH>
              <wp:positionV relativeFrom="paragraph">
                <wp:posOffset>191770</wp:posOffset>
              </wp:positionV>
              <wp:extent cx="5400040" cy="1905"/>
              <wp:effectExtent l="0" t="10795" r="10160" b="15875"/>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noFill/>
                      <a:ln w="22225" cap="flat" cmpd="sng" algn="ctr">
                        <a:solidFill>
                          <a:srgbClr val="005192"/>
                        </a:solidFill>
                        <a:prstDash val="solid"/>
                      </a:ln>
                      <a:effectLst/>
                    </wps:spPr>
                    <wps:bodyPr/>
                  </wps:wsp>
                </a:graphicData>
              </a:graphic>
            </wp:anchor>
          </w:drawing>
        </mc:Choice>
        <mc:Fallback>
          <w:pict>
            <v:line id="_x0000_s1026" o:spid="_x0000_s1026" o:spt="20" style="position:absolute;left:0pt;margin-left:-0.65pt;margin-top:15.1pt;height:0.15pt;width:425.2pt;z-index:251660288;mso-width-relative:page;mso-height-relative:page;" filled="f" stroked="t" coordsize="21600,21600" o:gfxdata="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LJRbf/UAAAACAEAAA8A&#10;AAAAAAAAAQAgAAAAIgAAAGRycy9kb3ducmV2LnhtbFBLAQIUABQAAAAIAIdO4kD0P31X4gEAAKwD&#10;AAAOAAAAAAAAAAEAIAAAACMBAABkcnMvZTJvRG9jLnhtbFBLBQYAAAAABgAGAFkBAAB3BQAAAAA=&#10;">
              <v:fill on="f" focussize="0,0"/>
              <v:stroke weight="1.75pt" color="#005192" joinstyle="round"/>
              <v:imagedata o:title=""/>
              <o:lock v:ext="edit" aspectratio="f"/>
            </v:line>
          </w:pict>
        </mc:Fallback>
      </mc:AlternateContent>
    </w:r>
    <w:r>
      <w:rPr>
        <w:rFonts w:hint="eastAsia" w:eastAsia="仿宋"/>
        <w:color w:val="FAFAFA"/>
        <w:sz w:val="32"/>
        <w:szCs w:val="48"/>
      </w:rPr>
      <w:t>.X</w:t>
    </w:r>
  </w:p>
  <w:p w14:paraId="6E63093B">
    <w:pPr>
      <w:pStyle w:val="5"/>
      <w:jc w:val="right"/>
    </w:pPr>
    <w:r>
      <w:rPr>
        <w:rFonts w:hint="eastAsia" w:ascii="宋体" w:hAnsi="宋体" w:eastAsia="宋体" w:cs="宋体"/>
        <w:b/>
        <w:bCs/>
        <w:color w:val="005192"/>
        <w:sz w:val="28"/>
        <w:szCs w:val="44"/>
        <w:lang w:eastAsia="zh-CN"/>
      </w:rPr>
      <w:t>六安</w:t>
    </w:r>
    <w:r>
      <w:rPr>
        <w:rFonts w:hint="eastAsia" w:ascii="宋体" w:hAnsi="宋体" w:eastAsia="宋体" w:cs="宋体"/>
        <w:b/>
        <w:bCs/>
        <w:color w:val="005192"/>
        <w:sz w:val="28"/>
        <w:szCs w:val="44"/>
      </w:rPr>
      <w:t>市</w:t>
    </w:r>
    <w:r>
      <w:rPr>
        <w:rFonts w:hint="eastAsia" w:ascii="宋体" w:hAnsi="宋体" w:eastAsia="宋体" w:cs="宋体"/>
        <w:b/>
        <w:bCs/>
        <w:color w:val="005192"/>
        <w:sz w:val="28"/>
        <w:szCs w:val="44"/>
        <w:lang w:eastAsia="zh-CN"/>
      </w:rPr>
      <w:t>城市管理局</w:t>
    </w:r>
    <w:r>
      <w:rPr>
        <w:rFonts w:hint="eastAsia" w:ascii="宋体" w:hAnsi="宋体" w:eastAsia="宋体" w:cs="宋体"/>
        <w:b/>
        <w:bCs/>
        <w:color w:val="005192"/>
        <w:sz w:val="28"/>
        <w:szCs w:val="44"/>
      </w:rPr>
      <w:t>发布</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37CB4B">
    <w:pPr>
      <w:pStyle w:val="6"/>
      <w:pBdr>
        <w:bottom w:val="none" w:color="auto" w:sz="0" w:space="1"/>
      </w:pBdr>
      <w:textAlignment w:val="center"/>
    </w:pPr>
    <w:r>
      <w:rPr>
        <w:rFonts w:hint="eastAsia" w:ascii="宋体" w:hAnsi="宋体" w:eastAsia="宋体" w:cs="宋体"/>
        <w:b/>
        <w:bCs/>
        <w:color w:val="005192"/>
        <w:sz w:val="32"/>
      </w:rPr>
      <mc:AlternateContent>
        <mc:Choice Requires="wps">
          <w:drawing>
            <wp:anchor distT="0" distB="0" distL="114300" distR="114300" simplePos="0" relativeHeight="251659264" behindDoc="0" locked="0" layoutInCell="1" allowOverlap="1">
              <wp:simplePos x="0" y="0"/>
              <wp:positionH relativeFrom="column">
                <wp:posOffset>-6985</wp:posOffset>
              </wp:positionH>
              <wp:positionV relativeFrom="paragraph">
                <wp:posOffset>334645</wp:posOffset>
              </wp:positionV>
              <wp:extent cx="5400040" cy="0"/>
              <wp:effectExtent l="0" t="10795" r="10160" b="17780"/>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noFill/>
                      <a:ln w="22225" cap="flat" cmpd="sng" algn="ctr">
                        <a:solidFill>
                          <a:srgbClr val="005192"/>
                        </a:solidFill>
                        <a:prstDash val="solid"/>
                      </a:ln>
                      <a:effectLst/>
                    </wps:spPr>
                    <wps:bodyPr/>
                  </wps:wsp>
                </a:graphicData>
              </a:graphic>
            </wp:anchor>
          </w:drawing>
        </mc:Choice>
        <mc:Fallback>
          <w:pict>
            <v:line id="_x0000_s1026" o:spid="_x0000_s1026" o:spt="20" style="position:absolute;left:0pt;margin-left:-0.55pt;margin-top:26.35pt;height:0pt;width:425.2pt;z-index:251659264;mso-width-relative:page;mso-height-relative:page;" filled="f" stroked="t" coordsize="21600,21600" o:gfxdata="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PzGA9LU&#10;AAAACAEAAA8AAAAAAAAAAQAgAAAAIgAAAGRycy9kb3ducmV2LnhtbFBLAQIUABQAAAAIAIdO4kA7&#10;PdZy6wEAALQDAAAOAAAAAAAAAAEAIAAAACMBAABkcnMvZTJvRG9jLnhtbFBLBQYAAAAABgAGAFkB&#10;AACABQAAAAA=&#10;">
              <v:fill on="f" focussize="0,0"/>
              <v:stroke weight="1.75pt" color="#005192" joinstyle="round"/>
              <v:imagedata o:title=""/>
              <o:lock v:ext="edit" aspectratio="f"/>
            </v:line>
          </w:pict>
        </mc:Fallback>
      </mc:AlternateContent>
    </w:r>
    <w:r>
      <w:rPr>
        <w:rFonts w:hint="eastAsia" w:ascii="宋体" w:hAnsi="宋体" w:eastAsia="宋体" w:cs="宋体"/>
        <w:b/>
        <w:bCs/>
        <w:color w:val="005192"/>
        <w:sz w:val="32"/>
      </w:rPr>
      <w:drawing>
        <wp:inline distT="0" distB="0" distL="114300" distR="114300">
          <wp:extent cx="308610" cy="308610"/>
          <wp:effectExtent l="0" t="0" r="15240" b="15240"/>
          <wp:docPr id="1" name="图片 1"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国徽1024"/>
                  <pic:cNvPicPr>
                    <a:picLocks noChangeAspect="1"/>
                  </pic:cNvPicPr>
                </pic:nvPicPr>
                <pic:blipFill>
                  <a:blip r:embed="rId1"/>
                  <a:stretch>
                    <a:fillRect/>
                  </a:stretch>
                </pic:blipFill>
                <pic:spPr>
                  <a:xfrm>
                    <a:off x="0" y="0"/>
                    <a:ext cx="308610" cy="308610"/>
                  </a:xfrm>
                  <a:prstGeom prst="rect">
                    <a:avLst/>
                  </a:prstGeom>
                  <a:noFill/>
                  <a:ln>
                    <a:noFill/>
                  </a:ln>
                </pic:spPr>
              </pic:pic>
            </a:graphicData>
          </a:graphic>
        </wp:inline>
      </w:drawing>
    </w:r>
    <w:r>
      <w:rPr>
        <w:rFonts w:hint="eastAsia" w:ascii="宋体" w:hAnsi="宋体" w:eastAsia="宋体" w:cs="宋体"/>
        <w:b/>
        <w:bCs/>
        <w:color w:val="005192"/>
        <w:sz w:val="32"/>
        <w:lang w:eastAsia="zh-CN"/>
      </w:rPr>
      <w:t>六安</w:t>
    </w:r>
    <w:r>
      <w:rPr>
        <w:rFonts w:hint="eastAsia" w:ascii="宋体" w:hAnsi="宋体" w:eastAsia="宋体" w:cs="宋体"/>
        <w:b/>
        <w:bCs/>
        <w:color w:val="005192"/>
        <w:sz w:val="32"/>
      </w:rPr>
      <w:t>市</w:t>
    </w:r>
    <w:r>
      <w:rPr>
        <w:rFonts w:hint="eastAsia" w:ascii="宋体" w:hAnsi="宋体" w:eastAsia="宋体" w:cs="宋体"/>
        <w:b/>
        <w:bCs/>
        <w:color w:val="005192"/>
        <w:sz w:val="32"/>
        <w:lang w:eastAsia="zh-CN"/>
      </w:rPr>
      <w:t>城市管理局</w:t>
    </w:r>
    <w:r>
      <w:rPr>
        <w:rFonts w:hint="eastAsia" w:ascii="宋体" w:hAnsi="宋体" w:eastAsia="宋体" w:cs="宋体"/>
        <w:b/>
        <w:bCs/>
        <w:color w:val="005192"/>
        <w:sz w:val="32"/>
      </w:rPr>
      <w:t>行政规范性文件</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attachedTemplate r:id="rId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Q2YjExMWQyZTU1ZDI2ZTYwMDczMzY2NTkxZjVhYWYifQ=="/>
  </w:docVars>
  <w:rsids>
    <w:rsidRoot w:val="00DC2D7B"/>
    <w:rsid w:val="00DC2D7B"/>
    <w:rsid w:val="09813E5B"/>
    <w:rsid w:val="0AAF583F"/>
    <w:rsid w:val="0AF12AF9"/>
    <w:rsid w:val="0F6111C8"/>
    <w:rsid w:val="110422D5"/>
    <w:rsid w:val="128751ED"/>
    <w:rsid w:val="1765666F"/>
    <w:rsid w:val="1D60035B"/>
    <w:rsid w:val="3556431E"/>
    <w:rsid w:val="3A8E3EE1"/>
    <w:rsid w:val="3C95780D"/>
    <w:rsid w:val="413B1B90"/>
    <w:rsid w:val="41740BF6"/>
    <w:rsid w:val="45F84CC3"/>
    <w:rsid w:val="484D62D8"/>
    <w:rsid w:val="4C050B29"/>
    <w:rsid w:val="58004CC2"/>
    <w:rsid w:val="5AEF35B4"/>
    <w:rsid w:val="5D6F449F"/>
    <w:rsid w:val="6CF90658"/>
    <w:rsid w:val="6ECE1671"/>
    <w:rsid w:val="71DD397B"/>
    <w:rsid w:val="75E0775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paragraph" w:styleId="3">
    <w:name w:val="heading 2"/>
    <w:basedOn w:val="1"/>
    <w:next w:val="1"/>
    <w:qFormat/>
    <w:uiPriority w:val="0"/>
    <w:pPr>
      <w:keepNext/>
      <w:keepLines/>
      <w:spacing w:before="260" w:after="260" w:line="416" w:lineRule="auto"/>
      <w:outlineLvl w:val="1"/>
    </w:pPr>
    <w:rPr>
      <w:rFonts w:ascii="Arial" w:hAnsi="Arial" w:eastAsia="黑体"/>
      <w:b/>
      <w:szCs w:val="32"/>
    </w:rPr>
  </w:style>
  <w:style w:type="character" w:default="1" w:styleId="9">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4">
    <w:name w:val="annotation text"/>
    <w:basedOn w:val="1"/>
    <w:qFormat/>
    <w:uiPriority w:val="0"/>
    <w:pPr>
      <w:jc w:val="left"/>
    </w:pPr>
    <w:rPr>
      <w:kern w:val="0"/>
      <w:sz w:val="20"/>
    </w:r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Normal (Web)"/>
    <w:basedOn w:val="1"/>
    <w:qFormat/>
    <w:uiPriority w:val="0"/>
    <w:pPr>
      <w:spacing w:before="0" w:beforeAutospacing="1" w:after="0" w:afterAutospacing="1"/>
      <w:ind w:left="0" w:right="0"/>
      <w:jc w:val="left"/>
    </w:pPr>
    <w:rPr>
      <w:kern w:val="0"/>
      <w:sz w:val="24"/>
      <w:lang w:val="en-US" w:eastAsia="zh-CN" w:bidi="ar"/>
    </w:rPr>
  </w:style>
  <w:style w:type="character" w:styleId="10">
    <w:name w:val="page number"/>
    <w:qFormat/>
    <w:uiPriority w:val="0"/>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Desktop\&#27169;&#26495;%20-%20&#21103;&#26412;%20(6)%20-%20&#21103;&#26412;.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模板 - 副本 (6) - 副本.docx</Template>
  <Pages>26</Pages>
  <Words>10143</Words>
  <Characters>10179</Characters>
  <Lines>0</Lines>
  <Paragraphs>0</Paragraphs>
  <TotalTime>6</TotalTime>
  <ScaleCrop>false</ScaleCrop>
  <LinksUpToDate>false</LinksUpToDate>
  <CharactersWithSpaces>10311</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2022-11-01T01:26:00Z</dcterms:created>
  <dc:creator>达文西</dc:creator>
  <cp:lastModifiedBy>Administrator</cp:lastModifiedBy>
  <dcterms:modified xsi:type="dcterms:W3CDTF">2025-01-02T07:21:55Z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92110CC0B1B6402381AE557E2E83275E_13</vt:lpwstr>
  </property>
  <property fmtid="{D5CDD505-2E9C-101B-9397-08002B2CF9AE}" pid="4" name="KSOTemplateDocerSaveRecord">
    <vt:lpwstr>eyJoZGlkIjoiZjQ2YjExMWQyZTU1ZDI2ZTYwMDczMzY2NTkxZjVhYWYifQ==</vt:lpwstr>
  </property>
</Properties>
</file>