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Toc10203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采购需求</w:t>
      </w:r>
      <w:bookmarkEnd w:id="0"/>
    </w:p>
    <w:p/>
    <w:p>
      <w:pPr>
        <w:pStyle w:val="3"/>
        <w:numPr>
          <w:ilvl w:val="0"/>
          <w:numId w:val="1"/>
        </w:numPr>
        <w:spacing w:after="0"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自动售货机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60" w:beforeAutospacing="0" w:afterAutospacing="0" w:line="600" w:lineRule="exact"/>
        <w:ind w:left="10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具有食品药品监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督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管理行政主管部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颁发的食品经营许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Autospacing="0" w:afterAutospacing="0" w:line="600" w:lineRule="exact"/>
        <w:ind w:left="108" w:right="8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w w:val="4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en-US" w:bidi="ar-SA"/>
        </w:rPr>
        <w:t>自动售货机销售商品不能局限于单一品类，需包含饮料，食品、日用品等满足消费者不同需求的多元化商品。销售商品种类经我处批准后方可销售（推荐销售品牌：百事可乐，可口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en-US" w:bidi="ar-SA"/>
        </w:rPr>
        <w:t>可乐，农夫山泉，统一，康师傅系列饮品，食品为知名品牌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37" w:beforeAutospacing="0" w:afterAutospacing="0" w:line="600" w:lineRule="exact"/>
        <w:ind w:left="108" w:right="8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pacing w:val="-24"/>
          <w:kern w:val="0"/>
          <w:sz w:val="32"/>
          <w:szCs w:val="32"/>
        </w:rPr>
        <w:t>、投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放机器需为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知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名品牌蛇形货道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饮料机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者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智能柜且单台机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器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仓道数不能少于</w:t>
      </w:r>
      <w:r>
        <w:rPr>
          <w:rFonts w:hint="eastAsia" w:ascii="仿宋_GB2312" w:hAnsi="仿宋_GB2312" w:eastAsia="仿宋_GB2312" w:cs="仿宋_GB2312"/>
          <w:bCs/>
          <w:color w:val="auto"/>
          <w:w w:val="99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w w:val="99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bCs/>
          <w:color w:val="auto"/>
          <w:spacing w:val="-24"/>
          <w:kern w:val="0"/>
          <w:sz w:val="32"/>
          <w:szCs w:val="32"/>
        </w:rPr>
        <w:t>，智</w:t>
      </w:r>
      <w:r>
        <w:rPr>
          <w:rFonts w:hint="eastAsia" w:ascii="仿宋_GB2312" w:hAnsi="仿宋_GB2312" w:eastAsia="仿宋_GB2312" w:cs="仿宋_GB2312"/>
          <w:bCs/>
          <w:color w:val="auto"/>
          <w:w w:val="1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能柜不能低于</w:t>
      </w:r>
      <w:r>
        <w:rPr>
          <w:rFonts w:hint="eastAsia" w:ascii="仿宋_GB2312" w:hAnsi="仿宋_GB2312" w:eastAsia="仿宋_GB2312" w:cs="仿宋_GB2312"/>
          <w:bCs/>
          <w:color w:val="auto"/>
          <w:w w:val="49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w w:val="99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层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不能少于</w:t>
      </w:r>
      <w:r>
        <w:rPr>
          <w:rFonts w:hint="eastAsia" w:ascii="仿宋_GB2312" w:hAnsi="仿宋_GB2312" w:eastAsia="仿宋_GB2312" w:cs="仿宋_GB2312"/>
          <w:bCs/>
          <w:color w:val="auto"/>
          <w:w w:val="99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300瓶饮料。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196" w:beforeAutospacing="0" w:afterAutospacing="0" w:line="600" w:lineRule="exact"/>
        <w:ind w:left="10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、收付方式：有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全稳定的</w:t>
      </w:r>
      <w:r>
        <w:rPr>
          <w:rFonts w:hint="eastAsia" w:ascii="仿宋_GB2312" w:hAnsi="仿宋_GB2312" w:eastAsia="仿宋_GB2312" w:cs="仿宋_GB2312"/>
          <w:bCs/>
          <w:color w:val="auto"/>
          <w:spacing w:val="-3"/>
          <w:w w:val="102"/>
          <w:kern w:val="0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费系统，支持具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微信、支付宝等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支付功能</w:t>
      </w:r>
      <w:r>
        <w:rPr>
          <w:rFonts w:hint="eastAsia" w:ascii="仿宋_GB2312" w:hAnsi="仿宋_GB2312" w:eastAsia="仿宋_GB2312" w:cs="仿宋_GB2312"/>
          <w:bCs/>
          <w:color w:val="auto"/>
          <w:spacing w:val="-1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方便交易</w:t>
      </w:r>
      <w:r>
        <w:rPr>
          <w:rFonts w:hint="eastAsia" w:ascii="仿宋_GB2312" w:hAnsi="仿宋_GB2312" w:eastAsia="仿宋_GB2312" w:cs="仿宋_GB2312"/>
          <w:bCs/>
          <w:color w:val="auto"/>
          <w:spacing w:val="-8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开放系统查询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限供采购单位监控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bCs/>
          <w:color w:val="auto"/>
          <w:spacing w:val="-1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可开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发票（或收银小票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236" w:beforeAutospacing="0" w:afterAutospacing="0" w:line="600" w:lineRule="exact"/>
        <w:ind w:left="10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、外形尺寸：不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于宽</w:t>
      </w:r>
      <w:r>
        <w:rPr>
          <w:rFonts w:hint="eastAsia" w:ascii="仿宋_GB2312" w:hAnsi="仿宋_GB2312" w:eastAsia="仿宋_GB2312" w:cs="仿宋_GB2312"/>
          <w:bCs/>
          <w:color w:val="auto"/>
          <w:w w:val="5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1"/>
          <w:w w:val="99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bCs/>
          <w:color w:val="auto"/>
          <w:spacing w:val="1"/>
          <w:w w:val="99"/>
          <w:kern w:val="0"/>
          <w:sz w:val="32"/>
          <w:szCs w:val="32"/>
        </w:rPr>
        <w:t>MM/*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深</w:t>
      </w:r>
      <w:r>
        <w:rPr>
          <w:rFonts w:hint="eastAsia" w:ascii="仿宋_GB2312" w:hAnsi="仿宋_GB2312" w:eastAsia="仿宋_GB2312" w:cs="仿宋_GB2312"/>
          <w:bCs/>
          <w:color w:val="auto"/>
          <w:w w:val="49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900MM*高</w:t>
      </w:r>
      <w:r>
        <w:rPr>
          <w:rFonts w:hint="eastAsia" w:ascii="仿宋_GB2312" w:hAnsi="仿宋_GB2312" w:eastAsia="仿宋_GB2312" w:cs="仿宋_GB2312"/>
          <w:bCs/>
          <w:color w:val="auto"/>
          <w:w w:val="49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2000MM.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198" w:beforeAutospacing="0" w:afterAutospacing="0" w:line="600" w:lineRule="exact"/>
        <w:ind w:left="108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净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重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：不大于</w:t>
      </w:r>
      <w:r>
        <w:rPr>
          <w:rFonts w:hint="eastAsia" w:ascii="仿宋_GB2312" w:hAnsi="仿宋_GB2312" w:eastAsia="仿宋_GB2312" w:cs="仿宋_GB2312"/>
          <w:bCs/>
          <w:color w:val="auto"/>
          <w:w w:val="49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w w:val="49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Cs/>
          <w:color w:val="auto"/>
          <w:spacing w:val="2"/>
          <w:w w:val="98"/>
          <w:kern w:val="0"/>
          <w:sz w:val="32"/>
          <w:szCs w:val="32"/>
        </w:rPr>
        <w:t>KG(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填充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198" w:beforeAutospacing="0" w:afterAutospacing="0" w:line="600" w:lineRule="exact"/>
        <w:ind w:left="108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防触电保护类型：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类，带防漏电电</w:t>
      </w:r>
      <w:r>
        <w:rPr>
          <w:rFonts w:hint="eastAsia" w:ascii="仿宋_GB2312" w:hAnsi="仿宋_GB2312" w:eastAsia="仿宋_GB2312" w:cs="仿宋_GB2312"/>
          <w:bCs/>
          <w:color w:val="auto"/>
          <w:spacing w:val="-1"/>
          <w:kern w:val="0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236"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以上条款供应商必须全部满足，否则视为不实质性响应谈判文件。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自助售卖机安装地点、投放数量及规格要求如下：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1、河西运动场3处、河西便民服务亭1处、河西游客接待中心1处、月亮岛皖西学院对面1处、月亮岛计时塔1处；共7处。规格大小：宽150MM/*深900MM*高2000MM。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2、每台机器投放占地面积不得大于3个平方；具体依据现场实际情况设置摆放点，服从业主安排。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二、运营管理方案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租人需24 小时接听客户投诉与问题反馈，接到消费者投诉后，12小时内安排专职售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2、每天安排专职人员及车辆及时配送产品，避免断货；同时保证提供在机器里的产品货龄新鲜，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不存在任何过期或临期产品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针对常见的自动售货机卡货、卡币等故障问题，专职人员会通过微信支付宝转账、充话费或提供产品等方式及吋解决员工问题，直到满意为止。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①质量保证及食品卫生安全：产品通过 ISO9001（质量）、FSSC22000（食品安全）的认证，所售饮料均符合国家卫生标准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②采购销售：所有原辅材料均通过产品公司认证的供应商提供，所有供应商均通过质量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管理，销售过程全程监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使用的安全性及维护：自动售货机通过 IS09001（质量）的认证，有专职人员进行维修保养。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④运者期问车辆在送货期间保证低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慢行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守园林规章制度，并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对驾驶员进行防御性驾驶培训。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合理安排配送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，服从公园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游园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相关管理规定。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重大活动期间安全性要求：在涉及重大社会活动期间，承租人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可根据需要配合公园执行关闭、临吋移动等安全措施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出租方只负资提供场地，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设备费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、产品费用、水电费、运输、安裝等费用由承租人自理。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设各安全及防盗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租人负责，因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安全使人员收到意外伤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的均由承租人承担。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具备良好的履约能力，自有配送车辆不得少于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辆，人员不少于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场地租赁费：签订合同后7个工作日内向采购单位缴纳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场地租赁费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用至指定账户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10.每个点每年场地租赁费保底为1200元，水电费另计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（根据公园内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电费收取标准，按实结算）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承租人承租点位只能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自动售货机，不得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作他用，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否则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出租人有权解除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技术服务水平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（详细投放方案）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供应商在响应文件中提供本项目的详细投放方案，根据投标人对投放设备及原材料品牌参数配置的掌握情况，投标人的运营管理方案的完善性、合理性、可行性、针对性等，根据投标人对投放工作的售货服务，根据投标人提供的拟售卖产品的质量控制的可行性、合理性以及针对性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54282"/>
    <w:multiLevelType w:val="singleLevel"/>
    <w:tmpl w:val="783542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MDI1ZWViNTFiODU1ZWVjNDE4MmFiMjBjMjI5NWQifQ=="/>
  </w:docVars>
  <w:rsids>
    <w:rsidRoot w:val="76D718A1"/>
    <w:rsid w:val="1C2C3C40"/>
    <w:rsid w:val="1CF73FC3"/>
    <w:rsid w:val="37092813"/>
    <w:rsid w:val="76D7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2023-11-13T09:01:00Z</dcterms:created>
  <dc:creator>远去→</dc:creator>
  <cp:lastModifiedBy>Administrator</cp:lastModifiedBy>
  <dcterms:modified xsi:type="dcterms:W3CDTF">2023-11-14T00:29:36Z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C05981715532479C9F7C6E411E30B6EA_11</vt:lpwstr>
  </property>
</Properties>
</file>