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rPr>
          <w:color w:val="auto"/>
        </w:rPr>
      </w:pPr>
    </w:p>
    <w:p>
      <w:pPr>
        <w:pStyle w:val="2"/>
        <w:jc w:val="center"/>
        <w:rPr>
          <w:rFonts w:hint="eastAsia" w:eastAsia="宋体"/>
          <w:color w:val="auto"/>
          <w:lang w:eastAsia="zh-CN"/>
        </w:rPr>
      </w:pPr>
      <w:r>
        <w:rPr>
          <w:rFonts w:hint="eastAsia" w:ascii="宋体" w:hAnsi="宋体"/>
          <w:b/>
          <w:bCs/>
          <w:sz w:val="44"/>
          <w:szCs w:val="44"/>
          <w:lang w:eastAsia="zh-CN"/>
        </w:rPr>
        <w:t>北郊支渠游园海绵化改造等四个项目第三方检测服务</w:t>
      </w:r>
    </w:p>
    <w:p>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rPr>
      </w:pPr>
    </w:p>
    <w:p>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rPr>
      </w:pPr>
    </w:p>
    <w:p>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rPr>
      </w:pPr>
    </w:p>
    <w:p>
      <w:pPr>
        <w:pStyle w:val="2"/>
        <w:ind w:left="0" w:leftChars="0" w:firstLine="0" w:firstLineChars="0"/>
        <w:rPr>
          <w:rFonts w:ascii="宋体" w:hAnsi="DotumChe" w:cs="宋体"/>
          <w:b/>
          <w:color w:val="auto"/>
          <w:spacing w:val="11"/>
          <w:kern w:val="0"/>
          <w:sz w:val="28"/>
          <w:szCs w:val="28"/>
        </w:rPr>
      </w:pPr>
    </w:p>
    <w:p>
      <w:pPr>
        <w:pStyle w:val="5"/>
      </w:pPr>
    </w:p>
    <w:p/>
    <w:p>
      <w:pPr>
        <w:tabs>
          <w:tab w:val="left" w:pos="2410"/>
        </w:tabs>
        <w:autoSpaceDE w:val="0"/>
        <w:autoSpaceDN w:val="0"/>
        <w:adjustRightInd w:val="0"/>
        <w:snapToGrid w:val="0"/>
        <w:spacing w:line="600" w:lineRule="exact"/>
        <w:jc w:val="center"/>
        <w:rPr>
          <w:rFonts w:ascii="宋体" w:hAnsi="DotumChe" w:cs="宋体"/>
          <w:b/>
          <w:color w:val="auto"/>
          <w:spacing w:val="11"/>
          <w:kern w:val="0"/>
          <w:sz w:val="56"/>
          <w:szCs w:val="56"/>
        </w:rPr>
      </w:pPr>
    </w:p>
    <w:p>
      <w:pPr>
        <w:tabs>
          <w:tab w:val="left" w:pos="2410"/>
        </w:tabs>
        <w:autoSpaceDE w:val="0"/>
        <w:autoSpaceDN w:val="0"/>
        <w:adjustRightInd w:val="0"/>
        <w:snapToGrid w:val="0"/>
        <w:spacing w:line="600" w:lineRule="exact"/>
        <w:jc w:val="center"/>
        <w:rPr>
          <w:rFonts w:ascii="宋体" w:hAnsi="DotumChe" w:cs="宋体"/>
          <w:b/>
          <w:color w:val="auto"/>
          <w:spacing w:val="11"/>
          <w:kern w:val="0"/>
          <w:sz w:val="56"/>
          <w:szCs w:val="56"/>
        </w:rPr>
      </w:pPr>
      <w:r>
        <w:rPr>
          <w:rFonts w:hint="eastAsia" w:ascii="宋体" w:hAnsi="DotumChe" w:cs="宋体"/>
          <w:b/>
          <w:color w:val="auto"/>
          <w:spacing w:val="11"/>
          <w:kern w:val="0"/>
          <w:sz w:val="56"/>
          <w:szCs w:val="56"/>
        </w:rPr>
        <w:t>竞争性谈判文件</w:t>
      </w:r>
    </w:p>
    <w:p>
      <w:pPr>
        <w:tabs>
          <w:tab w:val="left" w:pos="315"/>
          <w:tab w:val="left" w:pos="8820"/>
        </w:tabs>
        <w:spacing w:before="312" w:beforeLines="100" w:after="156" w:afterLines="50" w:line="500" w:lineRule="exact"/>
        <w:ind w:right="267" w:rightChars="127"/>
        <w:jc w:val="center"/>
        <w:rPr>
          <w:rFonts w:hint="eastAsia" w:ascii="仿宋_GB2312" w:eastAsia="宋体"/>
          <w:color w:val="auto"/>
          <w:sz w:val="44"/>
          <w:lang w:val="en-US" w:eastAsia="zh-CN"/>
        </w:rPr>
      </w:pPr>
      <w:r>
        <w:rPr>
          <w:rFonts w:hint="eastAsia" w:ascii="宋体" w:hAnsi="宋体" w:cs="宋体"/>
          <w:color w:val="auto"/>
          <w:sz w:val="28"/>
          <w:szCs w:val="28"/>
        </w:rPr>
        <w:t>项目编号：</w:t>
      </w:r>
      <w:r>
        <w:rPr>
          <w:rFonts w:hint="eastAsia" w:ascii="宋体" w:hAnsi="宋体" w:cs="宋体"/>
          <w:sz w:val="28"/>
          <w:szCs w:val="28"/>
          <w:lang w:eastAsia="zh-CN"/>
        </w:rPr>
        <w:t>AHLT-2025131</w:t>
      </w:r>
    </w:p>
    <w:p>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rPr>
      </w:pPr>
    </w:p>
    <w:p>
      <w:pPr>
        <w:pStyle w:val="2"/>
        <w:rPr>
          <w:color w:val="auto"/>
        </w:rPr>
      </w:pPr>
    </w:p>
    <w:p>
      <w:pPr>
        <w:pStyle w:val="2"/>
        <w:rPr>
          <w:color w:val="auto"/>
        </w:rPr>
      </w:pPr>
    </w:p>
    <w:p>
      <w:pPr>
        <w:pStyle w:val="2"/>
        <w:rPr>
          <w:color w:val="auto"/>
        </w:rPr>
      </w:pPr>
    </w:p>
    <w:p>
      <w:pPr>
        <w:pStyle w:val="2"/>
        <w:rPr>
          <w:color w:val="auto"/>
        </w:rPr>
      </w:pPr>
    </w:p>
    <w:p>
      <w:pPr>
        <w:rPr>
          <w:color w:val="auto"/>
        </w:rPr>
      </w:pPr>
    </w:p>
    <w:p>
      <w:pPr>
        <w:pStyle w:val="5"/>
        <w:ind w:left="0" w:leftChars="0" w:firstLine="0" w:firstLineChars="0"/>
      </w:pPr>
    </w:p>
    <w:p>
      <w:pPr>
        <w:pStyle w:val="13"/>
      </w:pPr>
    </w:p>
    <w:p>
      <w:pPr>
        <w:tabs>
          <w:tab w:val="left" w:pos="2410"/>
        </w:tabs>
        <w:autoSpaceDE w:val="0"/>
        <w:autoSpaceDN w:val="0"/>
        <w:adjustRightInd w:val="0"/>
        <w:snapToGrid w:val="0"/>
        <w:spacing w:line="600" w:lineRule="exact"/>
        <w:jc w:val="center"/>
        <w:rPr>
          <w:rFonts w:hint="eastAsia" w:ascii="宋体" w:hAnsi="DotumChe" w:eastAsia="宋体" w:cs="宋体"/>
          <w:b/>
          <w:spacing w:val="11"/>
          <w:kern w:val="0"/>
          <w:sz w:val="28"/>
          <w:szCs w:val="28"/>
          <w:lang w:eastAsia="zh-CN"/>
        </w:rPr>
      </w:pPr>
      <w:r>
        <w:rPr>
          <w:rFonts w:hint="eastAsia" w:ascii="宋体" w:hAnsi="DotumChe" w:cs="宋体"/>
          <w:b/>
          <w:color w:val="auto"/>
          <w:spacing w:val="11"/>
          <w:kern w:val="0"/>
          <w:sz w:val="28"/>
          <w:szCs w:val="28"/>
        </w:rPr>
        <w:t>采购人：</w:t>
      </w:r>
      <w:r>
        <w:rPr>
          <w:rFonts w:hint="eastAsia" w:ascii="宋体" w:hAnsi="DotumChe" w:cs="宋体"/>
          <w:b/>
          <w:spacing w:val="11"/>
          <w:kern w:val="0"/>
          <w:sz w:val="28"/>
          <w:szCs w:val="28"/>
          <w:lang w:eastAsia="zh-CN"/>
        </w:rPr>
        <w:t>六安市城市管理局、六安市园林绿化管理处</w:t>
      </w:r>
    </w:p>
    <w:p>
      <w:pPr>
        <w:tabs>
          <w:tab w:val="left" w:pos="2410"/>
        </w:tabs>
        <w:autoSpaceDE w:val="0"/>
        <w:autoSpaceDN w:val="0"/>
        <w:adjustRightInd w:val="0"/>
        <w:snapToGrid w:val="0"/>
        <w:spacing w:line="600" w:lineRule="exact"/>
        <w:jc w:val="center"/>
        <w:rPr>
          <w:rFonts w:ascii="宋体" w:hAnsi="DotumChe" w:cs="宋体"/>
          <w:b/>
          <w:color w:val="auto"/>
          <w:spacing w:val="11"/>
          <w:kern w:val="0"/>
          <w:sz w:val="28"/>
          <w:szCs w:val="28"/>
        </w:rPr>
      </w:pPr>
      <w:r>
        <w:rPr>
          <w:rFonts w:hint="eastAsia" w:ascii="宋体" w:hAnsi="DotumChe" w:cs="宋体"/>
          <w:b/>
          <w:color w:val="auto"/>
          <w:spacing w:val="11"/>
          <w:kern w:val="0"/>
          <w:sz w:val="28"/>
          <w:szCs w:val="28"/>
        </w:rPr>
        <w:t>采购代理机构：安徽省六投项目管理有限公司</w:t>
      </w:r>
    </w:p>
    <w:p>
      <w:pPr>
        <w:tabs>
          <w:tab w:val="left" w:pos="2410"/>
        </w:tabs>
        <w:autoSpaceDE w:val="0"/>
        <w:autoSpaceDN w:val="0"/>
        <w:adjustRightInd w:val="0"/>
        <w:snapToGrid w:val="0"/>
        <w:spacing w:line="600" w:lineRule="exact"/>
        <w:jc w:val="center"/>
        <w:rPr>
          <w:color w:val="auto"/>
          <w:sz w:val="32"/>
          <w:szCs w:val="32"/>
        </w:rPr>
      </w:pPr>
      <w:r>
        <w:rPr>
          <w:rFonts w:hint="eastAsia" w:ascii="宋体" w:hAnsi="DotumChe" w:cs="宋体"/>
          <w:b/>
          <w:color w:val="auto"/>
          <w:spacing w:val="11"/>
          <w:kern w:val="0"/>
          <w:sz w:val="28"/>
          <w:szCs w:val="28"/>
        </w:rPr>
        <w:t>采购时间：202</w:t>
      </w:r>
      <w:r>
        <w:rPr>
          <w:rFonts w:hint="eastAsia" w:ascii="宋体" w:hAnsi="DotumChe" w:cs="宋体"/>
          <w:b/>
          <w:color w:val="auto"/>
          <w:spacing w:val="11"/>
          <w:kern w:val="0"/>
          <w:sz w:val="28"/>
          <w:szCs w:val="28"/>
          <w:lang w:val="en-US" w:eastAsia="zh-CN"/>
        </w:rPr>
        <w:t>5</w:t>
      </w:r>
      <w:r>
        <w:rPr>
          <w:rFonts w:hint="eastAsia" w:ascii="宋体" w:hAnsi="DotumChe" w:cs="宋体"/>
          <w:b/>
          <w:color w:val="auto"/>
          <w:spacing w:val="11"/>
          <w:kern w:val="0"/>
          <w:sz w:val="28"/>
          <w:szCs w:val="28"/>
        </w:rPr>
        <w:t>年</w:t>
      </w:r>
      <w:r>
        <w:rPr>
          <w:rFonts w:hint="eastAsia" w:ascii="宋体" w:hAnsi="DotumChe" w:cs="宋体"/>
          <w:b/>
          <w:color w:val="auto"/>
          <w:spacing w:val="11"/>
          <w:kern w:val="0"/>
          <w:sz w:val="28"/>
          <w:szCs w:val="28"/>
          <w:lang w:val="en-US" w:eastAsia="zh-CN"/>
        </w:rPr>
        <w:t>11</w:t>
      </w:r>
      <w:r>
        <w:rPr>
          <w:rFonts w:hint="eastAsia" w:ascii="宋体" w:hAnsi="DotumChe" w:cs="宋体"/>
          <w:b/>
          <w:color w:val="auto"/>
          <w:spacing w:val="11"/>
          <w:kern w:val="0"/>
          <w:sz w:val="28"/>
          <w:szCs w:val="28"/>
        </w:rPr>
        <w:t>月</w:t>
      </w:r>
    </w:p>
    <w:p>
      <w:pPr>
        <w:jc w:val="center"/>
        <w:rPr>
          <w:b/>
          <w:color w:val="auto"/>
          <w:sz w:val="28"/>
          <w:szCs w:val="28"/>
        </w:rPr>
      </w:pPr>
      <w:r>
        <w:rPr>
          <w:rFonts w:hint="eastAsia"/>
          <w:b/>
          <w:color w:val="auto"/>
          <w:sz w:val="28"/>
          <w:szCs w:val="28"/>
        </w:rPr>
        <w:br w:type="page"/>
      </w:r>
    </w:p>
    <w:p>
      <w:pPr>
        <w:jc w:val="center"/>
        <w:rPr>
          <w:rFonts w:ascii="宋体" w:hAnsi="宋体" w:cs="宋体"/>
          <w:color w:val="auto"/>
          <w:sz w:val="36"/>
          <w:szCs w:val="36"/>
        </w:rPr>
      </w:pPr>
      <w:r>
        <w:rPr>
          <w:rFonts w:hint="eastAsia" w:ascii="宋体" w:hAnsi="宋体" w:cs="宋体"/>
          <w:b/>
          <w:color w:val="auto"/>
          <w:sz w:val="36"/>
          <w:szCs w:val="36"/>
        </w:rPr>
        <w:t>目  录</w:t>
      </w:r>
    </w:p>
    <w:p>
      <w:pPr>
        <w:pStyle w:val="31"/>
        <w:tabs>
          <w:tab w:val="right" w:leader="dot" w:pos="8844"/>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_Toc13576 </w:instrText>
      </w:r>
      <w:r>
        <w:rPr>
          <w:rFonts w:hint="eastAsia" w:ascii="宋体" w:hAnsi="宋体" w:eastAsia="宋体" w:cs="宋体"/>
          <w:sz w:val="28"/>
          <w:szCs w:val="28"/>
        </w:rPr>
        <w:fldChar w:fldCharType="separate"/>
      </w:r>
      <w:r>
        <w:rPr>
          <w:rFonts w:hint="eastAsia" w:ascii="宋体" w:hAnsi="宋体" w:eastAsia="宋体" w:cs="宋体"/>
          <w:sz w:val="28"/>
          <w:szCs w:val="28"/>
        </w:rPr>
        <w:t>竞争性谈判公告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_Toc13576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1"/>
        <w:tabs>
          <w:tab w:val="right" w:leader="dot" w:pos="8844"/>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_Toc2867 </w:instrText>
      </w:r>
      <w:r>
        <w:rPr>
          <w:rFonts w:hint="eastAsia" w:ascii="宋体" w:hAnsi="宋体" w:eastAsia="宋体" w:cs="宋体"/>
          <w:sz w:val="28"/>
          <w:szCs w:val="28"/>
        </w:rPr>
        <w:fldChar w:fldCharType="separate"/>
      </w:r>
      <w:r>
        <w:rPr>
          <w:rFonts w:hint="eastAsia" w:ascii="宋体" w:hAnsi="宋体" w:eastAsia="宋体" w:cs="宋体"/>
          <w:sz w:val="28"/>
          <w:szCs w:val="28"/>
        </w:rPr>
        <w:t>一、供应商须知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1"/>
        <w:tabs>
          <w:tab w:val="right" w:leader="dot" w:pos="8844"/>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_Toc22848 </w:instrText>
      </w:r>
      <w:r>
        <w:rPr>
          <w:rFonts w:hint="eastAsia" w:ascii="宋体" w:hAnsi="宋体" w:eastAsia="宋体" w:cs="宋体"/>
          <w:sz w:val="28"/>
          <w:szCs w:val="28"/>
        </w:rPr>
        <w:fldChar w:fldCharType="separate"/>
      </w:r>
      <w:r>
        <w:rPr>
          <w:rFonts w:hint="eastAsia" w:ascii="宋体" w:hAnsi="宋体" w:eastAsia="宋体" w:cs="宋体"/>
          <w:sz w:val="28"/>
          <w:szCs w:val="28"/>
        </w:rPr>
        <w:t>二、采购合同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_Toc22848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1"/>
        <w:tabs>
          <w:tab w:val="right" w:leader="dot" w:pos="8844"/>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_Toc31174 </w:instrText>
      </w:r>
      <w:r>
        <w:rPr>
          <w:rFonts w:hint="eastAsia" w:ascii="宋体" w:hAnsi="宋体" w:eastAsia="宋体" w:cs="宋体"/>
          <w:sz w:val="28"/>
          <w:szCs w:val="28"/>
        </w:rPr>
        <w:fldChar w:fldCharType="separate"/>
      </w:r>
      <w:r>
        <w:rPr>
          <w:rFonts w:hint="eastAsia" w:ascii="宋体" w:hAnsi="宋体" w:eastAsia="宋体" w:cs="宋体"/>
          <w:sz w:val="28"/>
          <w:szCs w:val="28"/>
        </w:rPr>
        <w:t>三、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_Toc31174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1"/>
        <w:tabs>
          <w:tab w:val="right" w:leader="dot" w:pos="8844"/>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_Toc17862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_Toc17862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1"/>
        <w:tabs>
          <w:tab w:val="right" w:leader="dot" w:pos="8844"/>
        </w:tabs>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_Toc12479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_Toc12479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1"/>
        <w:tabs>
          <w:tab w:val="right" w:leader="dot" w:pos="8778"/>
        </w:tabs>
        <w:spacing w:line="420" w:lineRule="exact"/>
        <w:ind w:left="0" w:leftChars="0" w:firstLine="560" w:firstLineChars="200"/>
        <w:rPr>
          <w:rFonts w:ascii="宋体" w:hAnsi="宋体" w:cs="宋体"/>
          <w:color w:val="auto"/>
          <w:sz w:val="28"/>
          <w:szCs w:val="28"/>
          <w:u w:val="single"/>
        </w:rPr>
      </w:pPr>
      <w:r>
        <w:rPr>
          <w:rFonts w:hint="eastAsia" w:ascii="宋体" w:hAnsi="宋体" w:eastAsia="宋体" w:cs="宋体"/>
          <w:color w:val="auto"/>
          <w:sz w:val="28"/>
          <w:szCs w:val="28"/>
        </w:rPr>
        <w:fldChar w:fldCharType="end"/>
      </w:r>
    </w:p>
    <w:p>
      <w:pPr>
        <w:pStyle w:val="69"/>
        <w:ind w:firstLine="2923" w:firstLineChars="1040"/>
        <w:rPr>
          <w:color w:val="auto"/>
          <w:sz w:val="28"/>
          <w:szCs w:val="28"/>
        </w:rPr>
      </w:pPr>
      <w:bookmarkStart w:id="0" w:name="_Toc216158623"/>
      <w:bookmarkStart w:id="1" w:name="_Toc363199264"/>
      <w:r>
        <w:rPr>
          <w:rFonts w:hint="eastAsia"/>
          <w:color w:val="auto"/>
          <w:sz w:val="28"/>
          <w:szCs w:val="28"/>
        </w:rPr>
        <w:br w:type="page"/>
      </w:r>
    </w:p>
    <w:p>
      <w:pPr>
        <w:pStyle w:val="10"/>
        <w:spacing w:before="156" w:beforeLines="50" w:after="156" w:afterLines="50" w:line="360" w:lineRule="auto"/>
        <w:jc w:val="center"/>
        <w:rPr>
          <w:rFonts w:ascii="宋体" w:hAnsi="宋体" w:eastAsia="宋体" w:cs="宋体"/>
          <w:color w:val="auto"/>
          <w:sz w:val="44"/>
          <w:szCs w:val="44"/>
        </w:rPr>
      </w:pPr>
      <w:bookmarkStart w:id="2" w:name="_Toc30186"/>
      <w:bookmarkStart w:id="3" w:name="_Toc13576"/>
      <w:r>
        <w:rPr>
          <w:rFonts w:hint="eastAsia" w:ascii="华文中宋" w:hAnsi="华文中宋" w:eastAsia="华文中宋" w:cs="华文中宋"/>
          <w:color w:val="auto"/>
          <w:sz w:val="44"/>
          <w:szCs w:val="44"/>
          <w:lang w:eastAsia="zh-CN"/>
        </w:rPr>
        <w:t>北郊支渠游园海绵化改造等四个项目第三方检测服务</w:t>
      </w:r>
      <w:r>
        <w:rPr>
          <w:rFonts w:hint="eastAsia" w:ascii="华文中宋" w:hAnsi="华文中宋" w:eastAsia="华文中宋" w:cs="华文中宋"/>
          <w:color w:val="auto"/>
          <w:sz w:val="44"/>
          <w:szCs w:val="44"/>
        </w:rPr>
        <w:t>竞争性谈判</w:t>
      </w:r>
      <w:bookmarkEnd w:id="2"/>
      <w:r>
        <w:rPr>
          <w:rFonts w:hint="eastAsia" w:ascii="华文中宋" w:hAnsi="华文中宋" w:eastAsia="华文中宋" w:cs="华文中宋"/>
          <w:color w:val="auto"/>
          <w:sz w:val="44"/>
          <w:szCs w:val="44"/>
        </w:rPr>
        <w:t>公告</w:t>
      </w:r>
      <w:bookmarkEnd w:id="3"/>
      <w:bookmarkStart w:id="4" w:name="_Toc28359012"/>
      <w:bookmarkStart w:id="5" w:name="_Toc25634"/>
      <w:bookmarkStart w:id="6" w:name="_Toc35393629"/>
      <w:bookmarkStart w:id="7" w:name="_Toc35393798"/>
      <w:bookmarkStart w:id="8" w:name="_Toc28359089"/>
    </w:p>
    <w:p>
      <w:pPr>
        <w:pStyle w:val="34"/>
        <w:keepNext w:val="0"/>
        <w:keepLines w:val="0"/>
        <w:widowControl/>
        <w:suppressLineNumbers w:val="0"/>
        <w:pBdr>
          <w:top w:val="single" w:color="auto" w:sz="8" w:space="1"/>
          <w:left w:val="single" w:color="auto" w:sz="8" w:space="4"/>
          <w:bottom w:val="single" w:color="auto" w:sz="8" w:space="1"/>
          <w:right w:val="single" w:color="auto" w:sz="8" w:space="4"/>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333333"/>
          <w:spacing w:val="0"/>
          <w:sz w:val="21"/>
          <w:szCs w:val="21"/>
        </w:rPr>
      </w:pPr>
      <w:bookmarkStart w:id="9" w:name="_Toc3258"/>
      <w:r>
        <w:rPr>
          <w:rFonts w:ascii="仿宋" w:hAnsi="仿宋" w:eastAsia="仿宋" w:cs="仿宋"/>
          <w:i w:val="0"/>
          <w:iCs w:val="0"/>
          <w:caps w:val="0"/>
          <w:color w:val="333333"/>
          <w:spacing w:val="0"/>
          <w:sz w:val="28"/>
          <w:szCs w:val="28"/>
          <w:shd w:val="clear" w:fill="FFFFFF"/>
        </w:rPr>
        <w:t>项目概况：</w:t>
      </w:r>
      <w:r>
        <w:rPr>
          <w:rFonts w:hint="eastAsia" w:ascii="仿宋" w:hAnsi="仿宋" w:eastAsia="仿宋" w:cs="仿宋"/>
          <w:i w:val="0"/>
          <w:iCs w:val="0"/>
          <w:caps w:val="0"/>
          <w:color w:val="333333"/>
          <w:spacing w:val="0"/>
          <w:sz w:val="28"/>
          <w:szCs w:val="28"/>
          <w:u w:val="single"/>
          <w:shd w:val="clear" w:fill="FFFFFF"/>
        </w:rPr>
        <w:t>北郊支渠游园海绵化改造等四个项目第三方检测服务（项目编号：AHLT-2025131）</w:t>
      </w:r>
      <w:r>
        <w:rPr>
          <w:rFonts w:hint="eastAsia" w:ascii="仿宋" w:hAnsi="仿宋" w:eastAsia="仿宋" w:cs="仿宋"/>
          <w:i w:val="0"/>
          <w:iCs w:val="0"/>
          <w:caps w:val="0"/>
          <w:color w:val="333333"/>
          <w:spacing w:val="0"/>
          <w:sz w:val="28"/>
          <w:szCs w:val="28"/>
          <w:shd w:val="clear" w:fill="FFFFFF"/>
        </w:rPr>
        <w:t>的潜在供应商应在六安市</w:t>
      </w:r>
      <w:r>
        <w:rPr>
          <w:rFonts w:hint="eastAsia" w:ascii="仿宋" w:hAnsi="仿宋" w:eastAsia="仿宋" w:cs="仿宋"/>
          <w:i w:val="0"/>
          <w:iCs w:val="0"/>
          <w:caps w:val="0"/>
          <w:color w:val="333333"/>
          <w:spacing w:val="0"/>
          <w:sz w:val="28"/>
          <w:szCs w:val="28"/>
          <w:shd w:val="clear" w:fill="FFFFFF"/>
          <w:lang w:val="en-US" w:eastAsia="zh-CN"/>
        </w:rPr>
        <w:t>城市管理局门户网站</w:t>
      </w:r>
      <w:r>
        <w:rPr>
          <w:rFonts w:hint="eastAsia" w:ascii="仿宋" w:hAnsi="仿宋" w:eastAsia="仿宋" w:cs="仿宋"/>
          <w:i w:val="0"/>
          <w:iCs w:val="0"/>
          <w:caps w:val="0"/>
          <w:color w:val="333333"/>
          <w:spacing w:val="0"/>
          <w:sz w:val="28"/>
          <w:szCs w:val="28"/>
          <w:shd w:val="clear" w:fill="FFFFFF"/>
        </w:rPr>
        <w:t>（https://cgj.luan.gov.cn/）获取采购文件，并于</w:t>
      </w:r>
      <w:r>
        <w:rPr>
          <w:rFonts w:hint="eastAsia" w:ascii="仿宋" w:hAnsi="仿宋" w:eastAsia="仿宋" w:cs="仿宋"/>
          <w:i w:val="0"/>
          <w:iCs w:val="0"/>
          <w:caps w:val="0"/>
          <w:color w:val="333333"/>
          <w:spacing w:val="0"/>
          <w:sz w:val="28"/>
          <w:szCs w:val="28"/>
          <w:u w:val="single"/>
          <w:shd w:val="clear" w:fill="FFFFFF"/>
        </w:rPr>
        <w:t>2025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default" w:ascii="仿宋" w:hAnsi="仿宋" w:eastAsia="仿宋" w:cs="仿宋"/>
          <w:i w:val="0"/>
          <w:iCs w:val="0"/>
          <w:caps w:val="0"/>
          <w:color w:val="333333"/>
          <w:spacing w:val="0"/>
          <w:sz w:val="28"/>
          <w:szCs w:val="28"/>
          <w:u w:val="single"/>
          <w:shd w:val="clear" w:fill="FFFFFF"/>
          <w:lang w:val="en" w:eastAsia="zh-CN"/>
        </w:rPr>
        <w:t>11</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default" w:ascii="仿宋" w:hAnsi="仿宋" w:eastAsia="仿宋" w:cs="仿宋"/>
          <w:i w:val="0"/>
          <w:iCs w:val="0"/>
          <w:caps w:val="0"/>
          <w:color w:val="333333"/>
          <w:spacing w:val="0"/>
          <w:sz w:val="28"/>
          <w:szCs w:val="28"/>
          <w:u w:val="single"/>
          <w:shd w:val="clear" w:fill="FFFFFF"/>
          <w:lang w:val="en" w:eastAsia="zh-CN"/>
        </w:rPr>
        <w:t>12</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日</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default" w:ascii="仿宋" w:hAnsi="仿宋" w:eastAsia="仿宋" w:cs="仿宋"/>
          <w:i w:val="0"/>
          <w:iCs w:val="0"/>
          <w:caps w:val="0"/>
          <w:color w:val="333333"/>
          <w:spacing w:val="0"/>
          <w:sz w:val="28"/>
          <w:szCs w:val="28"/>
          <w:u w:val="single"/>
          <w:shd w:val="clear" w:fill="FFFFFF"/>
          <w:lang w:val="en"/>
        </w:rPr>
        <w:t>10</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点</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default" w:ascii="仿宋" w:hAnsi="仿宋" w:eastAsia="仿宋" w:cs="仿宋"/>
          <w:i w:val="0"/>
          <w:iCs w:val="0"/>
          <w:caps w:val="0"/>
          <w:color w:val="333333"/>
          <w:spacing w:val="0"/>
          <w:sz w:val="28"/>
          <w:szCs w:val="28"/>
          <w:u w:val="single"/>
          <w:shd w:val="clear" w:fill="FFFFFF"/>
          <w:lang w:val="en" w:eastAsia="zh-CN"/>
        </w:rPr>
        <w:t>00</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分（北京时间）前</w:t>
      </w:r>
      <w:r>
        <w:rPr>
          <w:rFonts w:hint="eastAsia" w:ascii="仿宋" w:hAnsi="仿宋" w:eastAsia="仿宋" w:cs="仿宋"/>
          <w:i w:val="0"/>
          <w:iCs w:val="0"/>
          <w:caps w:val="0"/>
          <w:color w:val="333333"/>
          <w:spacing w:val="0"/>
          <w:sz w:val="28"/>
          <w:szCs w:val="28"/>
          <w:shd w:val="clear" w:fill="FFFFFF"/>
          <w:lang w:val="en-US" w:eastAsia="zh-CN"/>
        </w:rPr>
        <w:t>递交</w:t>
      </w:r>
      <w:r>
        <w:rPr>
          <w:rFonts w:hint="eastAsia" w:ascii="仿宋" w:hAnsi="仿宋" w:eastAsia="仿宋" w:cs="仿宋"/>
          <w:i w:val="0"/>
          <w:iCs w:val="0"/>
          <w:caps w:val="0"/>
          <w:color w:val="333333"/>
          <w:spacing w:val="0"/>
          <w:sz w:val="28"/>
          <w:szCs w:val="28"/>
          <w:shd w:val="clear" w:fill="FFFFFF"/>
        </w:rPr>
        <w:t>响应文件。</w:t>
      </w:r>
    </w:p>
    <w:p>
      <w:pPr>
        <w:pStyle w:val="10"/>
        <w:adjustRightInd/>
        <w:spacing w:before="0" w:after="0" w:line="360" w:lineRule="auto"/>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一、项目基本情况</w:t>
      </w:r>
      <w:bookmarkEnd w:id="4"/>
      <w:bookmarkEnd w:id="5"/>
      <w:bookmarkEnd w:id="6"/>
      <w:bookmarkEnd w:id="7"/>
      <w:bookmarkEnd w:id="8"/>
      <w:bookmarkEnd w:id="9"/>
    </w:p>
    <w:p>
      <w:pPr>
        <w:spacing w:line="360" w:lineRule="auto"/>
        <w:ind w:firstLine="560" w:firstLineChars="2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rPr>
        <w:t>1、项目编号：</w:t>
      </w:r>
      <w:r>
        <w:rPr>
          <w:rFonts w:hint="eastAsia" w:ascii="仿宋" w:hAnsi="仿宋" w:eastAsia="仿宋" w:cs="仿宋"/>
          <w:color w:val="auto"/>
          <w:sz w:val="28"/>
          <w:szCs w:val="28"/>
          <w:lang w:eastAsia="zh-CN"/>
        </w:rPr>
        <w:t>AHLT-2025131</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2、项目名称：</w:t>
      </w:r>
      <w:bookmarkStart w:id="10" w:name="OLE_LINK3"/>
      <w:r>
        <w:rPr>
          <w:rFonts w:hint="eastAsia" w:ascii="仿宋" w:hAnsi="仿宋" w:eastAsia="仿宋" w:cs="仿宋"/>
          <w:color w:val="auto"/>
          <w:sz w:val="28"/>
          <w:szCs w:val="28"/>
          <w:lang w:eastAsia="zh-CN"/>
        </w:rPr>
        <w:t>北郊支渠游园海绵化改造等四个项目第三方检测服务</w:t>
      </w:r>
    </w:p>
    <w:bookmarkEnd w:id="10"/>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3、项目类型：服务类</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4、采购方式：竞争性谈判</w:t>
      </w:r>
    </w:p>
    <w:p>
      <w:pPr>
        <w:spacing w:line="360" w:lineRule="auto"/>
        <w:ind w:firstLine="560" w:firstLineChars="200"/>
        <w:rPr>
          <w:rFonts w:hint="eastAsia" w:ascii="仿宋" w:hAnsi="仿宋" w:eastAsia="仿宋" w:cs="仿宋"/>
          <w:sz w:val="28"/>
          <w:szCs w:val="28"/>
          <w:highlight w:val="none"/>
          <w:shd w:val="clear" w:color="auto" w:fill="FFFFFF"/>
          <w:lang w:val="en-US" w:eastAsia="zh-CN" w:bidi="ar"/>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highlight w:val="none"/>
          <w:lang w:val="en-US" w:eastAsia="zh-CN"/>
        </w:rPr>
        <w:t>11.32</w:t>
      </w:r>
      <w:r>
        <w:rPr>
          <w:rFonts w:hint="eastAsia" w:ascii="仿宋" w:hAnsi="仿宋" w:eastAsia="仿宋" w:cs="仿宋"/>
          <w:sz w:val="28"/>
          <w:szCs w:val="28"/>
          <w:highlight w:val="none"/>
          <w:shd w:val="clear" w:color="auto" w:fill="FFFFFF"/>
          <w:lang w:val="en-US" w:eastAsia="zh-CN" w:bidi="ar"/>
        </w:rPr>
        <w:t>万元</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6、最高</w:t>
      </w:r>
      <w:r>
        <w:rPr>
          <w:rFonts w:hint="eastAsia" w:ascii="仿宋" w:hAnsi="仿宋" w:eastAsia="仿宋" w:cs="仿宋"/>
          <w:color w:val="auto"/>
          <w:sz w:val="28"/>
          <w:szCs w:val="28"/>
          <w:highlight w:val="none"/>
          <w:lang w:val="en-US" w:eastAsia="zh-CN"/>
        </w:rPr>
        <w:t>限价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11.32</w:t>
      </w:r>
      <w:r>
        <w:rPr>
          <w:rFonts w:hint="eastAsia" w:ascii="仿宋" w:hAnsi="仿宋" w:eastAsia="仿宋" w:cs="仿宋"/>
          <w:sz w:val="28"/>
          <w:szCs w:val="28"/>
          <w:highlight w:val="none"/>
          <w:shd w:val="clear" w:color="auto" w:fill="FFFFFF"/>
          <w:lang w:val="en-US" w:eastAsia="zh-CN" w:bidi="ar"/>
        </w:rPr>
        <w:t>万元</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7、标段（包别）划分：不分包</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8、采购需求：</w:t>
      </w:r>
      <w:r>
        <w:rPr>
          <w:rFonts w:hint="eastAsia" w:ascii="仿宋" w:hAnsi="仿宋" w:eastAsia="仿宋" w:cs="仿宋"/>
          <w:color w:val="auto"/>
          <w:sz w:val="28"/>
          <w:szCs w:val="28"/>
          <w:lang w:val="en-US" w:eastAsia="zh-CN"/>
        </w:rPr>
        <w:t>2025年度口袋公园建设项目，项目地点位于二水厂以东、紫荆路以西、振兴佳园小区旁、光华厂巷以北及落水桥巷以北，共5个地块。项目主要建设内容为改造龙泉、紫荆、西苑、佳苑、光华等五个地块，新建透水铺装7452平方米、下沉式绿地4718平方米，配套建设照明、坐凳、健身、儿童游憩等附属设施。</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北郊支渠游园海绵化改造项目，项目地点位于周集路以南、梅山北路以东、姚李路以北、九里沟路以西。项目主要建设内容为新建生态停车场 937 平方米、透水步道6759 平方米、下沉式绿地 4731 平方米、绿化缓冲带11294平方米，配套建设照明、坐凳、健身、儿童游憩等附属设施。</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锅底山区域海绵化改造工程，项目地点位于佛子岭路与八公山路交叉口西北角。项目主要建设内容为新建透水铺装 5860 平方米、雨水花园 209 平方米、旱溪 858 平方米、水塘驳岸 470 米、植草沟1030 米，配套建设水系自净系统、休息坐凳、照明等附属设施。</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龙河公园海绵化改造工程，项目地点位于裕安区龙河西路以南、嵩寮岩路以东、闻堰路以北、龙井沟路以西。项目主要建设内容为新建透水铺装 5781 平方米、转输型植草沟 1959 米、雨水花园 2917 平方米、下凹式绿地 3501 平方米，改造透水铺装 10115 平方米，配套建设休息坐凳、照明等附属设施。</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上述项目总投资约2420万元，具体项目涉及内容及范围可查阅施工图纸及工程量清单。本次招标服务内容为上述项目的全过程工程质量检测服务。</w:t>
      </w:r>
    </w:p>
    <w:p>
      <w:pPr>
        <w:spacing w:line="360" w:lineRule="auto"/>
        <w:ind w:firstLine="560" w:firstLineChars="200"/>
        <w:rPr>
          <w:rFonts w:hint="eastAsia" w:ascii="仿宋" w:hAnsi="仿宋" w:eastAsia="仿宋" w:cs="仿宋"/>
          <w:sz w:val="28"/>
          <w:szCs w:val="28"/>
          <w:highlight w:val="none"/>
          <w:shd w:val="clear" w:color="auto" w:fill="FFFFFF"/>
          <w:lang w:bidi="ar"/>
        </w:rPr>
      </w:pPr>
      <w:r>
        <w:rPr>
          <w:rFonts w:hint="eastAsia" w:ascii="仿宋" w:hAnsi="仿宋" w:eastAsia="仿宋" w:cs="仿宋"/>
          <w:color w:val="auto"/>
          <w:sz w:val="28"/>
          <w:szCs w:val="28"/>
        </w:rPr>
        <w:t>9、服务期限：</w:t>
      </w:r>
      <w:r>
        <w:rPr>
          <w:rFonts w:hint="eastAsia" w:ascii="仿宋" w:hAnsi="仿宋" w:eastAsia="仿宋" w:cs="仿宋"/>
          <w:sz w:val="28"/>
          <w:szCs w:val="28"/>
          <w:highlight w:val="none"/>
          <w:shd w:val="clear" w:color="auto" w:fill="FFFFFF"/>
          <w:lang w:val="en-US" w:eastAsia="zh-CN" w:bidi="ar"/>
        </w:rPr>
        <w:t>自试验检测合同生效之日起至竣工验收结束为止，满足工程进度需要。</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10、是否接受联合体：本项目不接受联合体。</w:t>
      </w:r>
    </w:p>
    <w:p>
      <w:pPr>
        <w:pStyle w:val="10"/>
        <w:adjustRightInd/>
        <w:spacing w:before="0" w:after="0" w:line="360" w:lineRule="auto"/>
        <w:jc w:val="both"/>
        <w:textAlignment w:val="auto"/>
        <w:rPr>
          <w:rFonts w:hint="eastAsia" w:ascii="黑体" w:hAnsi="黑体" w:eastAsia="黑体" w:cs="黑体"/>
          <w:b w:val="0"/>
          <w:bCs/>
          <w:color w:val="auto"/>
          <w:sz w:val="28"/>
          <w:szCs w:val="28"/>
          <w:highlight w:val="none"/>
        </w:rPr>
      </w:pPr>
      <w:bookmarkStart w:id="11" w:name="_Toc28359013"/>
      <w:bookmarkStart w:id="12" w:name="_Toc35393799"/>
      <w:bookmarkStart w:id="13" w:name="_Toc8072"/>
      <w:bookmarkStart w:id="14" w:name="_Toc2930"/>
      <w:bookmarkStart w:id="15" w:name="_Toc28359090"/>
      <w:bookmarkStart w:id="16" w:name="_Toc35393630"/>
      <w:r>
        <w:rPr>
          <w:rFonts w:hint="eastAsia" w:ascii="黑体" w:hAnsi="黑体" w:eastAsia="黑体" w:cs="黑体"/>
          <w:b w:val="0"/>
          <w:bCs/>
          <w:color w:val="auto"/>
          <w:sz w:val="28"/>
          <w:szCs w:val="28"/>
          <w:highlight w:val="none"/>
        </w:rPr>
        <w:t>二、申请人的资格要求</w:t>
      </w:r>
      <w:bookmarkEnd w:id="11"/>
      <w:bookmarkEnd w:id="12"/>
      <w:bookmarkEnd w:id="13"/>
      <w:bookmarkEnd w:id="14"/>
      <w:bookmarkEnd w:id="15"/>
      <w:bookmarkEnd w:id="16"/>
    </w:p>
    <w:p>
      <w:pPr>
        <w:spacing w:line="360" w:lineRule="auto"/>
        <w:ind w:firstLine="560" w:firstLineChars="200"/>
        <w:rPr>
          <w:rFonts w:ascii="仿宋" w:hAnsi="仿宋" w:eastAsia="仿宋" w:cs="仿宋"/>
          <w:color w:val="auto"/>
          <w:sz w:val="28"/>
          <w:szCs w:val="28"/>
          <w:highlight w:val="none"/>
        </w:rPr>
      </w:pPr>
      <w:bookmarkStart w:id="17" w:name="_Toc28359014"/>
      <w:bookmarkStart w:id="18" w:name="_Toc28359091"/>
      <w:r>
        <w:rPr>
          <w:rFonts w:hint="eastAsia" w:ascii="仿宋" w:hAnsi="仿宋" w:eastAsia="仿宋" w:cs="仿宋"/>
          <w:color w:val="auto"/>
          <w:sz w:val="28"/>
          <w:szCs w:val="28"/>
          <w:highlight w:val="none"/>
        </w:rPr>
        <w:t>1、符合《中华人民共和国政府采购法》第二十二条规定；</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bookmarkEnd w:id="17"/>
      <w:bookmarkEnd w:id="18"/>
      <w:bookmarkStart w:id="19" w:name="_Toc35393631"/>
      <w:bookmarkStart w:id="20" w:name="_Toc15899"/>
      <w:bookmarkStart w:id="21" w:name="_Toc35393800"/>
      <w:r>
        <w:rPr>
          <w:rFonts w:hint="eastAsia" w:ascii="仿宋" w:hAnsi="仿宋" w:eastAsia="仿宋" w:cs="仿宋"/>
          <w:color w:val="auto"/>
          <w:sz w:val="28"/>
          <w:szCs w:val="28"/>
          <w:highlight w:val="none"/>
        </w:rPr>
        <w:t>、落实政府采购政策需满足的资格要求：</w:t>
      </w:r>
      <w:r>
        <w:rPr>
          <w:rFonts w:hint="eastAsia" w:ascii="仿宋" w:hAnsi="仿宋" w:eastAsia="仿宋" w:cs="仿宋"/>
          <w:color w:val="auto"/>
          <w:sz w:val="28"/>
          <w:szCs w:val="28"/>
          <w:highlight w:val="none"/>
          <w:lang w:val="en-US" w:eastAsia="zh-CN"/>
        </w:rPr>
        <w:t>无；</w:t>
      </w:r>
    </w:p>
    <w:p>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3.1.投标人须同时具备：</w:t>
      </w:r>
    </w:p>
    <w:p>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（1）具有下列资质之一：</w:t>
      </w:r>
    </w:p>
    <w:p>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①有效期内的建设工程质量检测机构专项资质证书（专项资质须同时包括：市政工程材料、地基基础）</w:t>
      </w:r>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②有效期内的建设工程质量检测机构综合资质证书；</w:t>
      </w:r>
    </w:p>
    <w:p>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（2）有效期内的省级及以上质量技术监督部门颁发的检验检测机构资质认定证书（CMA）。</w:t>
      </w:r>
    </w:p>
    <w:p>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3.2.</w:t>
      </w:r>
      <w:r>
        <w:rPr>
          <w:rFonts w:hint="eastAsia" w:ascii="仿宋" w:hAnsi="仿宋" w:eastAsia="仿宋" w:cs="仿宋"/>
          <w:color w:val="auto"/>
          <w:sz w:val="28"/>
          <w:szCs w:val="28"/>
        </w:rPr>
        <w:t>项目负责人资格要求：项目负责人须具有</w:t>
      </w:r>
      <w:r>
        <w:rPr>
          <w:rFonts w:hint="eastAsia" w:ascii="仿宋" w:hAnsi="仿宋" w:eastAsia="仿宋" w:cs="仿宋"/>
          <w:color w:val="auto"/>
          <w:sz w:val="28"/>
          <w:szCs w:val="28"/>
          <w:lang w:val="en-US" w:eastAsia="zh-CN"/>
        </w:rPr>
        <w:t>工程类相关</w:t>
      </w:r>
      <w:r>
        <w:rPr>
          <w:rFonts w:hint="eastAsia" w:ascii="仿宋" w:hAnsi="仿宋" w:eastAsia="仿宋" w:cs="仿宋"/>
          <w:color w:val="auto"/>
          <w:sz w:val="28"/>
          <w:szCs w:val="28"/>
        </w:rPr>
        <w:t>专业中级及以上职称。</w:t>
      </w:r>
    </w:p>
    <w:p>
      <w:pPr>
        <w:pStyle w:val="10"/>
        <w:adjustRightInd/>
        <w:spacing w:before="0" w:after="0" w:line="360" w:lineRule="auto"/>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三、获取采购文件</w:t>
      </w:r>
      <w:bookmarkEnd w:id="19"/>
      <w:bookmarkEnd w:id="20"/>
      <w:bookmarkEnd w:id="21"/>
    </w:p>
    <w:p>
      <w:pPr>
        <w:spacing w:line="360" w:lineRule="auto"/>
        <w:ind w:firstLine="560" w:firstLineChars="200"/>
        <w:rPr>
          <w:rFonts w:hint="eastAsia" w:ascii="仿宋" w:hAnsi="仿宋" w:eastAsia="仿宋" w:cs="仿宋"/>
          <w:sz w:val="28"/>
          <w:szCs w:val="28"/>
          <w:highlight w:val="none"/>
        </w:rPr>
      </w:pPr>
      <w:bookmarkStart w:id="22" w:name="_Toc35393801"/>
      <w:bookmarkStart w:id="23" w:name="_Toc35393632"/>
      <w:bookmarkStart w:id="24" w:name="_Toc28359092"/>
      <w:bookmarkStart w:id="25" w:name="_Toc28359015"/>
      <w:bookmarkStart w:id="26" w:name="_Toc13207"/>
      <w:r>
        <w:rPr>
          <w:rFonts w:hint="eastAsia" w:ascii="仿宋" w:hAnsi="仿宋" w:eastAsia="仿宋" w:cs="仿宋"/>
          <w:sz w:val="28"/>
          <w:szCs w:val="28"/>
          <w:highlight w:val="none"/>
        </w:rPr>
        <w:t>1、时间：自公告发布之日起至</w:t>
      </w:r>
      <w:r>
        <w:rPr>
          <w:rFonts w:hint="eastAsia" w:ascii="仿宋" w:hAnsi="仿宋" w:eastAsia="仿宋" w:cs="仿宋"/>
          <w:sz w:val="28"/>
          <w:szCs w:val="28"/>
          <w:highlight w:val="none"/>
          <w:lang w:val="en-US" w:eastAsia="zh-CN"/>
        </w:rPr>
        <w:t>谈判截止</w:t>
      </w:r>
      <w:r>
        <w:rPr>
          <w:rFonts w:hint="eastAsia" w:ascii="仿宋" w:hAnsi="仿宋" w:eastAsia="仿宋" w:cs="仿宋"/>
          <w:sz w:val="28"/>
          <w:szCs w:val="28"/>
          <w:highlight w:val="none"/>
        </w:rPr>
        <w:t>时间止。</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地点</w:t>
      </w:r>
      <w:r>
        <w:rPr>
          <w:rFonts w:hint="eastAsia" w:ascii="仿宋" w:hAnsi="仿宋" w:eastAsia="仿宋" w:cs="仿宋"/>
          <w:sz w:val="28"/>
          <w:szCs w:val="28"/>
          <w:highlight w:val="none"/>
        </w:rPr>
        <w:t>：六安市城市管理局门户网站（https://cgj.luan.gov.cn/）</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3、售价：零元。</w:t>
      </w:r>
    </w:p>
    <w:p>
      <w:pPr>
        <w:pStyle w:val="10"/>
        <w:adjustRightInd/>
        <w:spacing w:before="0" w:after="0" w:line="360" w:lineRule="auto"/>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四、响应文件</w:t>
      </w:r>
      <w:bookmarkEnd w:id="22"/>
      <w:bookmarkEnd w:id="23"/>
      <w:bookmarkEnd w:id="24"/>
      <w:bookmarkEnd w:id="25"/>
      <w:r>
        <w:rPr>
          <w:rFonts w:hint="eastAsia" w:ascii="黑体" w:hAnsi="黑体" w:eastAsia="黑体" w:cs="黑体"/>
          <w:b w:val="0"/>
          <w:bCs/>
          <w:color w:val="auto"/>
          <w:sz w:val="28"/>
          <w:szCs w:val="28"/>
        </w:rPr>
        <w:t>提交</w:t>
      </w:r>
      <w:bookmarkEnd w:id="26"/>
      <w:bookmarkStart w:id="27" w:name="_Toc31128"/>
      <w:bookmarkStart w:id="28" w:name="_Toc28359093"/>
      <w:bookmarkStart w:id="29" w:name="_Toc35393633"/>
      <w:bookmarkStart w:id="30" w:name="_Toc28359016"/>
      <w:bookmarkStart w:id="31" w:name="_Toc35393802"/>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1、截止时间：202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default" w:ascii="仿宋" w:hAnsi="仿宋" w:eastAsia="仿宋" w:cs="仿宋"/>
          <w:color w:val="auto"/>
          <w:sz w:val="28"/>
          <w:szCs w:val="28"/>
          <w:lang w:val="en" w:eastAsia="zh-CN"/>
        </w:rPr>
        <w:t>11</w:t>
      </w:r>
      <w:r>
        <w:rPr>
          <w:rFonts w:hint="eastAsia" w:ascii="仿宋" w:hAnsi="仿宋" w:eastAsia="仿宋" w:cs="仿宋"/>
          <w:color w:val="auto"/>
          <w:sz w:val="28"/>
          <w:szCs w:val="28"/>
        </w:rPr>
        <w:t>月</w:t>
      </w:r>
      <w:r>
        <w:rPr>
          <w:rFonts w:hint="default" w:ascii="仿宋" w:hAnsi="仿宋" w:eastAsia="仿宋" w:cs="仿宋"/>
          <w:color w:val="auto"/>
          <w:sz w:val="28"/>
          <w:szCs w:val="28"/>
          <w:lang w:val="en" w:eastAsia="zh-CN"/>
        </w:rPr>
        <w:t>12</w:t>
      </w:r>
      <w:r>
        <w:rPr>
          <w:rFonts w:hint="eastAsia" w:ascii="仿宋" w:hAnsi="仿宋" w:eastAsia="仿宋" w:cs="仿宋"/>
          <w:color w:val="auto"/>
          <w:sz w:val="28"/>
          <w:szCs w:val="28"/>
        </w:rPr>
        <w:t>日</w:t>
      </w:r>
      <w:r>
        <w:rPr>
          <w:rFonts w:hint="default" w:ascii="仿宋" w:hAnsi="仿宋" w:eastAsia="仿宋" w:cs="仿宋"/>
          <w:color w:val="auto"/>
          <w:sz w:val="28"/>
          <w:szCs w:val="28"/>
          <w:lang w:val="en" w:eastAsia="zh-CN"/>
        </w:rPr>
        <w:t>10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分（北京时间）</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2、地点：</w:t>
      </w:r>
      <w:bookmarkStart w:id="32" w:name="OLE_LINK6"/>
      <w:r>
        <w:rPr>
          <w:rFonts w:hint="eastAsia" w:ascii="仿宋" w:hAnsi="仿宋" w:eastAsia="仿宋" w:cs="仿宋"/>
          <w:color w:val="auto"/>
          <w:sz w:val="28"/>
          <w:szCs w:val="28"/>
        </w:rPr>
        <w:t>六安市金安区东市街道长安南路620号城投大厦7楼</w:t>
      </w:r>
      <w:bookmarkEnd w:id="32"/>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3、响应文件提交方式：响应文件应在提交截止时间前现场递交纸质响应文件，否则不予接收。</w:t>
      </w:r>
    </w:p>
    <w:p>
      <w:pPr>
        <w:pStyle w:val="10"/>
        <w:adjustRightInd/>
        <w:spacing w:before="0" w:after="0" w:line="360" w:lineRule="auto"/>
        <w:jc w:val="both"/>
        <w:textAlignment w:val="auto"/>
        <w:rPr>
          <w:rFonts w:hint="eastAsia" w:ascii="黑体" w:hAnsi="黑体" w:eastAsia="黑体" w:cs="黑体"/>
          <w:b w:val="0"/>
          <w:bCs/>
          <w:color w:val="auto"/>
          <w:sz w:val="28"/>
          <w:szCs w:val="28"/>
        </w:rPr>
      </w:pPr>
      <w:bookmarkStart w:id="33" w:name="_Toc20438"/>
      <w:r>
        <w:rPr>
          <w:rFonts w:hint="eastAsia" w:ascii="黑体" w:hAnsi="黑体" w:eastAsia="黑体" w:cs="黑体"/>
          <w:b w:val="0"/>
          <w:bCs/>
          <w:color w:val="auto"/>
          <w:sz w:val="28"/>
          <w:szCs w:val="28"/>
        </w:rPr>
        <w:t>五、响应文件开启</w:t>
      </w:r>
      <w:bookmarkEnd w:id="27"/>
      <w:bookmarkEnd w:id="28"/>
      <w:bookmarkEnd w:id="29"/>
      <w:bookmarkEnd w:id="30"/>
      <w:bookmarkEnd w:id="31"/>
      <w:bookmarkEnd w:id="33"/>
    </w:p>
    <w:p>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1、时间：202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default" w:ascii="仿宋" w:hAnsi="仿宋" w:eastAsia="仿宋" w:cs="仿宋"/>
          <w:color w:val="auto"/>
          <w:sz w:val="28"/>
          <w:szCs w:val="28"/>
          <w:lang w:val="en" w:eastAsia="zh-CN"/>
        </w:rPr>
        <w:t>11</w:t>
      </w:r>
      <w:r>
        <w:rPr>
          <w:rFonts w:hint="eastAsia" w:ascii="仿宋" w:hAnsi="仿宋" w:eastAsia="仿宋" w:cs="仿宋"/>
          <w:color w:val="auto"/>
          <w:sz w:val="28"/>
          <w:szCs w:val="28"/>
        </w:rPr>
        <w:t>月</w:t>
      </w:r>
      <w:r>
        <w:rPr>
          <w:rFonts w:hint="default" w:ascii="仿宋" w:hAnsi="仿宋" w:eastAsia="仿宋" w:cs="仿宋"/>
          <w:color w:val="auto"/>
          <w:sz w:val="28"/>
          <w:szCs w:val="28"/>
          <w:lang w:val="en" w:eastAsia="zh-CN"/>
        </w:rPr>
        <w:t>12</w:t>
      </w:r>
      <w:r>
        <w:rPr>
          <w:rFonts w:hint="eastAsia" w:ascii="仿宋" w:hAnsi="仿宋" w:eastAsia="仿宋" w:cs="仿宋"/>
          <w:color w:val="auto"/>
          <w:sz w:val="28"/>
          <w:szCs w:val="28"/>
        </w:rPr>
        <w:t>日</w:t>
      </w:r>
      <w:r>
        <w:rPr>
          <w:rFonts w:hint="default" w:ascii="仿宋" w:hAnsi="仿宋" w:eastAsia="仿宋" w:cs="仿宋"/>
          <w:color w:val="auto"/>
          <w:sz w:val="28"/>
          <w:szCs w:val="28"/>
          <w:lang w:val="en" w:eastAsia="zh-CN"/>
        </w:rPr>
        <w:t>10</w:t>
      </w:r>
      <w:r>
        <w:rPr>
          <w:rFonts w:hint="eastAsia" w:ascii="仿宋" w:hAnsi="仿宋" w:eastAsia="仿宋" w:cs="仿宋"/>
          <w:color w:val="auto"/>
          <w:sz w:val="28"/>
          <w:szCs w:val="28"/>
        </w:rPr>
        <w:t>时</w:t>
      </w:r>
      <w:r>
        <w:rPr>
          <w:rFonts w:hint="default" w:ascii="仿宋" w:hAnsi="仿宋" w:eastAsia="仿宋" w:cs="仿宋"/>
          <w:color w:val="auto"/>
          <w:sz w:val="28"/>
          <w:szCs w:val="28"/>
          <w:lang w:val="en" w:eastAsia="zh-CN"/>
        </w:rPr>
        <w:t>00</w:t>
      </w:r>
      <w:r>
        <w:rPr>
          <w:rFonts w:hint="eastAsia" w:ascii="仿宋" w:hAnsi="仿宋" w:eastAsia="仿宋" w:cs="仿宋"/>
          <w:color w:val="auto"/>
          <w:sz w:val="28"/>
          <w:szCs w:val="28"/>
        </w:rPr>
        <w:t>分（北京时间）；</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2、地点：</w:t>
      </w:r>
      <w:bookmarkStart w:id="34" w:name="OLE_LINK5"/>
      <w:r>
        <w:rPr>
          <w:rFonts w:hint="eastAsia" w:ascii="仿宋" w:hAnsi="仿宋" w:eastAsia="仿宋" w:cs="仿宋"/>
          <w:color w:val="auto"/>
          <w:sz w:val="28"/>
          <w:szCs w:val="28"/>
        </w:rPr>
        <w:t>六安市金安区东市街道长安南路620号城投大厦7楼</w:t>
      </w:r>
      <w:bookmarkEnd w:id="34"/>
      <w:r>
        <w:rPr>
          <w:rFonts w:hint="eastAsia" w:ascii="仿宋" w:hAnsi="仿宋" w:eastAsia="仿宋" w:cs="仿宋"/>
          <w:color w:val="auto"/>
          <w:sz w:val="28"/>
          <w:szCs w:val="28"/>
          <w:lang w:eastAsia="zh-CN"/>
        </w:rPr>
        <w:t>。</w:t>
      </w:r>
    </w:p>
    <w:p>
      <w:pPr>
        <w:pStyle w:val="10"/>
        <w:adjustRightInd/>
        <w:spacing w:before="0" w:after="0" w:line="360" w:lineRule="auto"/>
        <w:jc w:val="both"/>
        <w:textAlignment w:val="auto"/>
        <w:rPr>
          <w:rFonts w:hint="eastAsia" w:ascii="黑体" w:hAnsi="黑体" w:eastAsia="黑体" w:cs="黑体"/>
          <w:b w:val="0"/>
          <w:bCs/>
          <w:color w:val="auto"/>
          <w:sz w:val="28"/>
          <w:szCs w:val="28"/>
          <w:lang w:val="en-US" w:eastAsia="zh-CN"/>
        </w:rPr>
      </w:pPr>
      <w:bookmarkStart w:id="35" w:name="_Toc28359094"/>
      <w:bookmarkStart w:id="36" w:name="_Toc28359017"/>
      <w:bookmarkStart w:id="37" w:name="_Toc35393634"/>
      <w:bookmarkStart w:id="38" w:name="_Toc35393803"/>
      <w:bookmarkStart w:id="39" w:name="_Toc25132"/>
      <w:r>
        <w:rPr>
          <w:rFonts w:hint="eastAsia" w:ascii="黑体" w:hAnsi="黑体" w:eastAsia="黑体" w:cs="黑体"/>
          <w:b w:val="0"/>
          <w:bCs/>
          <w:color w:val="auto"/>
          <w:sz w:val="28"/>
          <w:szCs w:val="28"/>
          <w:lang w:val="en-US" w:eastAsia="zh-CN"/>
        </w:rPr>
        <w:t>六、公告期限</w:t>
      </w:r>
      <w:bookmarkEnd w:id="35"/>
      <w:bookmarkEnd w:id="36"/>
      <w:bookmarkEnd w:id="37"/>
      <w:bookmarkEnd w:id="38"/>
      <w:bookmarkEnd w:id="39"/>
    </w:p>
    <w:p>
      <w:pPr>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自本公告发布之日起3个工作日。</w:t>
      </w:r>
      <w:bookmarkStart w:id="40" w:name="_Toc28359095"/>
      <w:bookmarkStart w:id="41" w:name="_Toc35393805"/>
      <w:bookmarkStart w:id="42" w:name="_Toc35393636"/>
      <w:bookmarkStart w:id="43" w:name="_Toc28359018"/>
      <w:bookmarkStart w:id="44" w:name="_Toc21256"/>
    </w:p>
    <w:p>
      <w:pPr>
        <w:pStyle w:val="10"/>
        <w:adjustRightInd/>
        <w:spacing w:before="0" w:after="0" w:line="360" w:lineRule="auto"/>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七、其他事宜</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（1）本项目采用纸质开标方式，开标时供应商需到开标现场进行签到，并在响应文件递交截止时间前递交响应文件。</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（2）响应保证金：本项目无需提供。</w:t>
      </w:r>
    </w:p>
    <w:p>
      <w:pPr>
        <w:pStyle w:val="10"/>
        <w:adjustRightInd/>
        <w:spacing w:before="0" w:after="0" w:line="360" w:lineRule="auto"/>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八、凡对本次采购提出询问，请按以下方式联系。</w:t>
      </w:r>
      <w:bookmarkEnd w:id="40"/>
      <w:bookmarkEnd w:id="41"/>
      <w:bookmarkEnd w:id="42"/>
      <w:bookmarkEnd w:id="43"/>
      <w:bookmarkEnd w:id="44"/>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1、采购人信息</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六安市城市管理局、六安市园林绿化管理处</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址：六安市佛子岭中路、六安市金安区八公山路丽景苑综合办公楼19楼</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联系方式：0564-3335269</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2、采购代理机构信息</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名    称：安徽省六投项目管理有限公司</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址：六安市金安区东市街道长安南路620号城投大厦7楼</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联系方式：0564-3270017</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3、项目联系方式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项目联系人：</w:t>
      </w:r>
      <w:r>
        <w:rPr>
          <w:rFonts w:hint="eastAsia" w:ascii="仿宋" w:hAnsi="仿宋" w:eastAsia="仿宋" w:cs="仿宋"/>
          <w:bCs/>
          <w:sz w:val="28"/>
          <w:szCs w:val="28"/>
          <w:highlight w:val="none"/>
          <w:lang w:val="en-US" w:eastAsia="zh-CN"/>
        </w:rPr>
        <w:t>聂</w:t>
      </w:r>
      <w:r>
        <w:rPr>
          <w:rFonts w:hint="eastAsia" w:ascii="仿宋" w:hAnsi="仿宋" w:eastAsia="仿宋" w:cs="仿宋"/>
          <w:bCs/>
          <w:sz w:val="28"/>
          <w:szCs w:val="28"/>
          <w:highlight w:val="none"/>
        </w:rPr>
        <w:t>工</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电　    话：0564-3270017</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default" w:ascii="仿宋" w:hAnsi="仿宋" w:eastAsia="仿宋" w:cs="仿宋"/>
          <w:color w:val="auto"/>
          <w:sz w:val="28"/>
          <w:szCs w:val="28"/>
          <w:lang w:val="en" w:eastAsia="zh-CN"/>
        </w:rPr>
        <w:t>6</w:t>
      </w:r>
      <w:r>
        <w:rPr>
          <w:rFonts w:hint="eastAsia" w:ascii="仿宋" w:hAnsi="仿宋" w:eastAsia="仿宋" w:cs="仿宋"/>
          <w:color w:val="auto"/>
          <w:sz w:val="28"/>
          <w:szCs w:val="28"/>
        </w:rPr>
        <w:t>日</w:t>
      </w:r>
    </w:p>
    <w:p>
      <w:pPr>
        <w:rPr>
          <w:rFonts w:ascii="宋体" w:hAnsi="宋体" w:cs="宋体"/>
          <w:color w:val="auto"/>
          <w:sz w:val="28"/>
          <w:szCs w:val="28"/>
        </w:rPr>
      </w:pPr>
      <w:r>
        <w:rPr>
          <w:rFonts w:hint="eastAsia" w:ascii="宋体" w:hAnsi="宋体" w:cs="宋体"/>
          <w:color w:val="auto"/>
          <w:sz w:val="28"/>
          <w:szCs w:val="28"/>
        </w:rPr>
        <w:br w:type="page"/>
      </w:r>
    </w:p>
    <w:p>
      <w:pPr>
        <w:pStyle w:val="10"/>
        <w:spacing w:before="156" w:beforeLines="50" w:after="156" w:afterLines="50" w:line="560" w:lineRule="exact"/>
        <w:jc w:val="center"/>
        <w:rPr>
          <w:rFonts w:ascii="宋体" w:hAnsi="宋体" w:eastAsia="宋体" w:cs="宋体"/>
          <w:color w:val="auto"/>
          <w:sz w:val="28"/>
          <w:szCs w:val="28"/>
        </w:rPr>
      </w:pPr>
      <w:bookmarkStart w:id="45" w:name="_Toc2867"/>
      <w:r>
        <w:rPr>
          <w:rFonts w:hint="eastAsia" w:ascii="宋体" w:hAnsi="宋体" w:eastAsia="宋体" w:cs="宋体"/>
          <w:color w:val="auto"/>
          <w:sz w:val="28"/>
          <w:szCs w:val="28"/>
        </w:rPr>
        <w:t>一、供应商须知</w:t>
      </w:r>
      <w:bookmarkEnd w:id="0"/>
      <w:bookmarkEnd w:id="1"/>
      <w:bookmarkEnd w:id="45"/>
    </w:p>
    <w:p>
      <w:pPr>
        <w:pStyle w:val="10"/>
        <w:spacing w:before="0" w:after="0" w:line="560" w:lineRule="exact"/>
        <w:jc w:val="center"/>
        <w:rPr>
          <w:rFonts w:ascii="宋体" w:hAnsi="宋体" w:eastAsia="宋体" w:cs="宋体"/>
          <w:color w:val="auto"/>
          <w:sz w:val="24"/>
          <w:szCs w:val="24"/>
        </w:rPr>
      </w:pPr>
      <w:bookmarkStart w:id="46" w:name="_Toc8430"/>
      <w:bookmarkStart w:id="47" w:name="_Toc30850"/>
      <w:r>
        <w:rPr>
          <w:rFonts w:hint="eastAsia" w:ascii="宋体" w:hAnsi="宋体" w:eastAsia="宋体" w:cs="宋体"/>
          <w:color w:val="auto"/>
          <w:sz w:val="24"/>
          <w:szCs w:val="24"/>
        </w:rPr>
        <w:t>（一）须知前附表</w:t>
      </w:r>
      <w:bookmarkEnd w:id="46"/>
      <w:bookmarkEnd w:id="47"/>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spacing w:line="440" w:lineRule="exact"/>
              <w:jc w:val="center"/>
              <w:rPr>
                <w:rFonts w:ascii="宋体" w:hAnsi="宋体"/>
                <w:b/>
                <w:color w:val="auto"/>
                <w:sz w:val="24"/>
                <w:szCs w:val="24"/>
              </w:rPr>
            </w:pPr>
            <w:bookmarkStart w:id="48" w:name="_Toc438107743"/>
            <w:bookmarkStart w:id="49" w:name="_Toc216158627"/>
            <w:bookmarkStart w:id="50" w:name="_Toc363199267"/>
            <w:r>
              <w:rPr>
                <w:rFonts w:hint="eastAsia" w:ascii="宋体" w:hAnsi="宋体"/>
                <w:b/>
                <w:color w:val="auto"/>
                <w:sz w:val="24"/>
                <w:szCs w:val="24"/>
              </w:rPr>
              <w:t>序号</w:t>
            </w:r>
          </w:p>
        </w:tc>
        <w:tc>
          <w:tcPr>
            <w:tcW w:w="1502" w:type="dxa"/>
            <w:vAlign w:val="center"/>
          </w:tcPr>
          <w:p>
            <w:pPr>
              <w:spacing w:line="440" w:lineRule="exact"/>
              <w:jc w:val="center"/>
              <w:rPr>
                <w:rFonts w:ascii="宋体" w:hAnsi="宋体"/>
                <w:b/>
                <w:color w:val="auto"/>
                <w:sz w:val="24"/>
                <w:szCs w:val="24"/>
              </w:rPr>
            </w:pPr>
            <w:r>
              <w:rPr>
                <w:rFonts w:hint="eastAsia" w:ascii="宋体" w:hAnsi="宋体"/>
                <w:b/>
                <w:color w:val="auto"/>
                <w:sz w:val="24"/>
                <w:szCs w:val="24"/>
              </w:rPr>
              <w:t>内容</w:t>
            </w:r>
          </w:p>
        </w:tc>
        <w:tc>
          <w:tcPr>
            <w:tcW w:w="7308" w:type="dxa"/>
            <w:vAlign w:val="center"/>
          </w:tcPr>
          <w:p>
            <w:pPr>
              <w:pStyle w:val="102"/>
              <w:widowControl w:val="0"/>
              <w:spacing w:before="0" w:beforeAutospacing="0" w:after="0" w:afterAutospacing="0" w:line="440" w:lineRule="exact"/>
              <w:rPr>
                <w:bCs w:val="0"/>
                <w:color w:val="auto"/>
                <w:kern w:val="2"/>
                <w:sz w:val="24"/>
                <w:szCs w:val="24"/>
              </w:rPr>
            </w:pPr>
            <w:r>
              <w:rPr>
                <w:rFonts w:hint="eastAsia"/>
                <w:bCs w:val="0"/>
                <w:color w:val="auto"/>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w:t>
            </w:r>
          </w:p>
        </w:tc>
        <w:tc>
          <w:tcPr>
            <w:tcW w:w="1502" w:type="dxa"/>
            <w:vAlign w:val="center"/>
          </w:tcPr>
          <w:p>
            <w:pPr>
              <w:spacing w:line="440" w:lineRule="exact"/>
              <w:jc w:val="center"/>
              <w:rPr>
                <w:rFonts w:ascii="宋体" w:hAnsi="宋体"/>
                <w:color w:val="auto"/>
                <w:sz w:val="24"/>
                <w:szCs w:val="24"/>
              </w:rPr>
            </w:pPr>
            <w:r>
              <w:rPr>
                <w:rFonts w:hint="eastAsia" w:ascii="宋体" w:hAnsi="宋体"/>
                <w:bCs/>
                <w:color w:val="auto"/>
                <w:sz w:val="24"/>
                <w:szCs w:val="24"/>
              </w:rPr>
              <w:t>采购人</w:t>
            </w:r>
          </w:p>
        </w:tc>
        <w:tc>
          <w:tcPr>
            <w:tcW w:w="7308" w:type="dxa"/>
            <w:vAlign w:val="center"/>
          </w:tcPr>
          <w:p>
            <w:pPr>
              <w:spacing w:line="440" w:lineRule="exact"/>
              <w:rPr>
                <w:rFonts w:hint="eastAsia" w:eastAsia="宋体"/>
                <w:color w:val="auto"/>
                <w:sz w:val="24"/>
                <w:szCs w:val="24"/>
                <w:lang w:eastAsia="zh-CN"/>
              </w:rPr>
            </w:pPr>
            <w:r>
              <w:rPr>
                <w:rFonts w:hint="eastAsia"/>
                <w:sz w:val="24"/>
                <w:szCs w:val="24"/>
                <w:highlight w:val="none"/>
                <w:lang w:eastAsia="zh-CN"/>
              </w:rPr>
              <w:t>六安市城市管理局、六安市园林绿化管理处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2</w:t>
            </w:r>
          </w:p>
        </w:tc>
        <w:tc>
          <w:tcPr>
            <w:tcW w:w="1502" w:type="dxa"/>
            <w:vAlign w:val="center"/>
          </w:tcPr>
          <w:p>
            <w:pPr>
              <w:spacing w:line="440" w:lineRule="exact"/>
              <w:jc w:val="center"/>
              <w:rPr>
                <w:rFonts w:ascii="宋体" w:hAnsi="宋体"/>
                <w:bCs/>
                <w:color w:val="auto"/>
                <w:sz w:val="24"/>
                <w:szCs w:val="24"/>
              </w:rPr>
            </w:pPr>
            <w:r>
              <w:rPr>
                <w:rFonts w:hint="eastAsia" w:ascii="宋体" w:hAnsi="宋体"/>
                <w:color w:val="auto"/>
                <w:sz w:val="24"/>
                <w:szCs w:val="24"/>
              </w:rPr>
              <w:t>采购代理机构</w:t>
            </w:r>
          </w:p>
        </w:tc>
        <w:tc>
          <w:tcPr>
            <w:tcW w:w="7308" w:type="dxa"/>
            <w:vAlign w:val="center"/>
          </w:tcPr>
          <w:p>
            <w:pPr>
              <w:spacing w:line="440" w:lineRule="exact"/>
              <w:jc w:val="left"/>
              <w:rPr>
                <w:rFonts w:ascii="宋体" w:hAnsi="宋体"/>
                <w:color w:val="auto"/>
                <w:sz w:val="24"/>
                <w:szCs w:val="24"/>
              </w:rPr>
            </w:pPr>
            <w:r>
              <w:rPr>
                <w:rFonts w:hint="eastAsia" w:ascii="宋体" w:hAnsi="宋体"/>
                <w:color w:val="auto"/>
                <w:sz w:val="24"/>
                <w:szCs w:val="24"/>
              </w:rPr>
              <w:t>名称：</w:t>
            </w:r>
            <w:r>
              <w:rPr>
                <w:rFonts w:hint="eastAsia" w:ascii="宋体" w:hAnsi="宋体" w:cs="宋体"/>
                <w:color w:val="auto"/>
                <w:sz w:val="24"/>
                <w:szCs w:val="24"/>
              </w:rPr>
              <w:t>安徽省六投项目管理有限公司</w:t>
            </w:r>
            <w:r>
              <w:rPr>
                <w:rFonts w:ascii="宋体" w:hAnsi="宋体"/>
                <w:color w:val="auto"/>
                <w:sz w:val="24"/>
                <w:szCs w:val="24"/>
              </w:rPr>
              <w:t xml:space="preserve"> </w:t>
            </w:r>
          </w:p>
          <w:p>
            <w:pPr>
              <w:spacing w:line="440" w:lineRule="exact"/>
              <w:jc w:val="left"/>
              <w:rPr>
                <w:b/>
                <w:bCs/>
                <w:color w:val="auto"/>
                <w:sz w:val="24"/>
                <w:szCs w:val="24"/>
              </w:rPr>
            </w:pPr>
            <w:r>
              <w:rPr>
                <w:rFonts w:hint="eastAsia"/>
                <w:color w:val="auto"/>
                <w:sz w:val="24"/>
                <w:szCs w:val="24"/>
              </w:rPr>
              <w:t>地址：六安市金安区东市街道长安南路620号城投大厦7楼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3</w:t>
            </w:r>
          </w:p>
        </w:tc>
        <w:tc>
          <w:tcPr>
            <w:tcW w:w="1502" w:type="dxa"/>
            <w:vAlign w:val="center"/>
          </w:tcPr>
          <w:p>
            <w:pPr>
              <w:spacing w:line="440" w:lineRule="exact"/>
              <w:jc w:val="center"/>
              <w:rPr>
                <w:rFonts w:ascii="宋体" w:hAnsi="宋体"/>
                <w:color w:val="auto"/>
                <w:sz w:val="24"/>
                <w:szCs w:val="24"/>
              </w:rPr>
            </w:pPr>
            <w:r>
              <w:rPr>
                <w:rFonts w:hint="eastAsia" w:ascii="宋体" w:hAnsi="宋体"/>
                <w:color w:val="auto"/>
                <w:sz w:val="24"/>
                <w:szCs w:val="24"/>
              </w:rPr>
              <w:t>谈判有效期</w:t>
            </w:r>
          </w:p>
        </w:tc>
        <w:tc>
          <w:tcPr>
            <w:tcW w:w="7308" w:type="dxa"/>
            <w:vAlign w:val="center"/>
          </w:tcPr>
          <w:p>
            <w:pPr>
              <w:pStyle w:val="102"/>
              <w:widowControl w:val="0"/>
              <w:spacing w:before="0" w:beforeAutospacing="0" w:after="0" w:afterAutospacing="0" w:line="440" w:lineRule="exact"/>
              <w:jc w:val="both"/>
              <w:rPr>
                <w:b w:val="0"/>
                <w:bCs w:val="0"/>
                <w:color w:val="auto"/>
                <w:sz w:val="24"/>
                <w:szCs w:val="24"/>
              </w:rPr>
            </w:pPr>
            <w:r>
              <w:rPr>
                <w:rFonts w:hint="eastAsia"/>
                <w:b w:val="0"/>
                <w:bCs w:val="0"/>
                <w:color w:val="auto"/>
                <w:sz w:val="24"/>
                <w:szCs w:val="24"/>
              </w:rPr>
              <w:t>响应文件提交截止日后30天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4</w:t>
            </w:r>
          </w:p>
        </w:tc>
        <w:tc>
          <w:tcPr>
            <w:tcW w:w="1502" w:type="dxa"/>
            <w:vAlign w:val="center"/>
          </w:tcPr>
          <w:p>
            <w:pPr>
              <w:spacing w:line="440" w:lineRule="exact"/>
              <w:jc w:val="center"/>
              <w:rPr>
                <w:rFonts w:ascii="宋体" w:hAnsi="宋体"/>
                <w:color w:val="auto"/>
                <w:sz w:val="24"/>
                <w:szCs w:val="24"/>
              </w:rPr>
            </w:pPr>
            <w:r>
              <w:rPr>
                <w:rFonts w:hint="eastAsia" w:ascii="宋体" w:hAnsi="宋体"/>
                <w:color w:val="auto"/>
                <w:sz w:val="24"/>
                <w:szCs w:val="24"/>
              </w:rPr>
              <w:t>项目类型</w:t>
            </w:r>
          </w:p>
        </w:tc>
        <w:tc>
          <w:tcPr>
            <w:tcW w:w="7308" w:type="dxa"/>
            <w:vAlign w:val="center"/>
          </w:tcPr>
          <w:p>
            <w:pPr>
              <w:pStyle w:val="102"/>
              <w:widowControl w:val="0"/>
              <w:spacing w:before="0" w:beforeAutospacing="0" w:after="0" w:afterAutospacing="0" w:line="440" w:lineRule="exact"/>
              <w:jc w:val="both"/>
              <w:rPr>
                <w:b w:val="0"/>
                <w:bCs w:val="0"/>
                <w:color w:val="auto"/>
                <w:sz w:val="24"/>
                <w:szCs w:val="24"/>
              </w:rPr>
            </w:pPr>
            <w:bookmarkStart w:id="150" w:name="_GoBack"/>
            <w:r>
              <w:rPr>
                <w:rFonts w:hint="eastAsia"/>
                <w:b w:val="0"/>
                <w:bCs w:val="0"/>
                <w:color w:val="auto"/>
                <w:sz w:val="24"/>
                <w:szCs w:val="24"/>
              </w:rPr>
              <w:t>服务类</w:t>
            </w:r>
          </w:p>
          <w:bookmarkEnd w:id="15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5</w:t>
            </w:r>
          </w:p>
        </w:tc>
        <w:tc>
          <w:tcPr>
            <w:tcW w:w="1502" w:type="dxa"/>
            <w:vAlign w:val="center"/>
          </w:tcPr>
          <w:p>
            <w:pPr>
              <w:spacing w:line="440" w:lineRule="exact"/>
              <w:jc w:val="center"/>
              <w:rPr>
                <w:rFonts w:ascii="宋体" w:hAnsi="宋体"/>
                <w:color w:val="auto"/>
                <w:sz w:val="24"/>
                <w:szCs w:val="24"/>
              </w:rPr>
            </w:pPr>
            <w:r>
              <w:rPr>
                <w:rFonts w:hint="eastAsia" w:ascii="宋体" w:hAnsi="宋体"/>
                <w:color w:val="auto"/>
                <w:sz w:val="24"/>
                <w:szCs w:val="24"/>
              </w:rPr>
              <w:t>项目名称</w:t>
            </w:r>
          </w:p>
        </w:tc>
        <w:tc>
          <w:tcPr>
            <w:tcW w:w="7308" w:type="dxa"/>
            <w:vAlign w:val="center"/>
          </w:tcPr>
          <w:p>
            <w:pPr>
              <w:pStyle w:val="102"/>
              <w:widowControl w:val="0"/>
              <w:spacing w:before="0" w:beforeAutospacing="0" w:after="0" w:afterAutospacing="0" w:line="440" w:lineRule="exact"/>
              <w:jc w:val="both"/>
              <w:rPr>
                <w:rFonts w:hint="eastAsia" w:eastAsia="宋体"/>
                <w:color w:val="auto"/>
                <w:sz w:val="24"/>
                <w:szCs w:val="24"/>
                <w:lang w:eastAsia="zh-CN"/>
              </w:rPr>
            </w:pPr>
            <w:r>
              <w:rPr>
                <w:rFonts w:hint="eastAsia"/>
                <w:b w:val="0"/>
                <w:bCs w:val="0"/>
                <w:color w:val="auto"/>
                <w:sz w:val="24"/>
                <w:szCs w:val="24"/>
                <w:lang w:eastAsia="zh-CN"/>
              </w:rPr>
              <w:t>北郊支渠游园海绵化改造等四个项目第三方检测服务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6</w:t>
            </w:r>
          </w:p>
        </w:tc>
        <w:tc>
          <w:tcPr>
            <w:tcW w:w="1502" w:type="dxa"/>
            <w:vAlign w:val="center"/>
          </w:tcPr>
          <w:p>
            <w:pPr>
              <w:spacing w:line="440" w:lineRule="exact"/>
              <w:jc w:val="center"/>
              <w:rPr>
                <w:rFonts w:ascii="宋体" w:hAnsi="宋体"/>
                <w:color w:val="auto"/>
                <w:sz w:val="24"/>
                <w:szCs w:val="24"/>
              </w:rPr>
            </w:pPr>
            <w:r>
              <w:rPr>
                <w:rFonts w:hint="eastAsia" w:ascii="宋体" w:hAnsi="宋体"/>
                <w:color w:val="auto"/>
                <w:sz w:val="24"/>
                <w:szCs w:val="24"/>
              </w:rPr>
              <w:t>项目编号</w:t>
            </w:r>
          </w:p>
        </w:tc>
        <w:tc>
          <w:tcPr>
            <w:tcW w:w="7308" w:type="dxa"/>
            <w:vAlign w:val="center"/>
          </w:tcPr>
          <w:p>
            <w:pPr>
              <w:pStyle w:val="102"/>
              <w:widowControl w:val="0"/>
              <w:spacing w:before="0" w:beforeAutospacing="0" w:after="0" w:afterAutospacing="0" w:line="440" w:lineRule="exact"/>
              <w:jc w:val="both"/>
              <w:rPr>
                <w:rFonts w:hint="default" w:eastAsia="宋体"/>
                <w:color w:val="auto"/>
                <w:sz w:val="24"/>
                <w:szCs w:val="24"/>
                <w:lang w:val="en-US" w:eastAsia="zh-CN"/>
              </w:rPr>
            </w:pPr>
            <w:r>
              <w:rPr>
                <w:rFonts w:hint="eastAsia"/>
                <w:b w:val="0"/>
                <w:bCs w:val="0"/>
                <w:color w:val="auto"/>
                <w:sz w:val="24"/>
                <w:szCs w:val="24"/>
                <w:lang w:val="en-US" w:eastAsia="zh-CN"/>
              </w:rPr>
              <w:t>AHLT-2025131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69"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7</w:t>
            </w:r>
          </w:p>
        </w:tc>
        <w:tc>
          <w:tcPr>
            <w:tcW w:w="1502" w:type="dxa"/>
            <w:vAlign w:val="center"/>
          </w:tcPr>
          <w:p>
            <w:pPr>
              <w:spacing w:line="440" w:lineRule="exact"/>
              <w:jc w:val="center"/>
              <w:rPr>
                <w:rFonts w:ascii="宋体" w:hAnsi="宋体"/>
                <w:color w:val="auto"/>
                <w:sz w:val="24"/>
                <w:szCs w:val="24"/>
              </w:rPr>
            </w:pPr>
            <w:r>
              <w:rPr>
                <w:rFonts w:hint="eastAsia" w:ascii="宋体" w:hAnsi="宋体"/>
                <w:color w:val="auto"/>
                <w:sz w:val="24"/>
                <w:szCs w:val="24"/>
              </w:rPr>
              <w:t>付款方式</w:t>
            </w:r>
          </w:p>
        </w:tc>
        <w:tc>
          <w:tcPr>
            <w:tcW w:w="7308" w:type="dxa"/>
            <w:vAlign w:val="center"/>
          </w:tcPr>
          <w:p>
            <w:pPr>
              <w:pStyle w:val="102"/>
              <w:widowControl w:val="0"/>
              <w:spacing w:before="0" w:beforeAutospacing="0" w:after="0" w:afterAutospacing="0" w:line="440" w:lineRule="exact"/>
              <w:jc w:val="both"/>
              <w:rPr>
                <w:rFonts w:hint="eastAsia" w:cs="宋体"/>
                <w:b w:val="0"/>
                <w:bCs w:val="0"/>
                <w:color w:val="auto"/>
                <w:sz w:val="24"/>
                <w:szCs w:val="24"/>
                <w:lang w:val="en-US" w:eastAsia="zh-CN"/>
              </w:rPr>
            </w:pPr>
            <w:r>
              <w:rPr>
                <w:rFonts w:hint="eastAsia" w:cs="宋体"/>
                <w:b w:val="0"/>
                <w:bCs w:val="0"/>
                <w:color w:val="auto"/>
                <w:sz w:val="24"/>
                <w:szCs w:val="24"/>
                <w:lang w:val="en-US" w:eastAsia="zh-CN"/>
              </w:rPr>
              <w:t>工程竣工验收合格后一次性付清。</w:t>
            </w:r>
          </w:p>
          <w:p>
            <w:pPr>
              <w:pStyle w:val="102"/>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w:t>
            </w:r>
            <w:r>
              <w:rPr>
                <w:rFonts w:hint="eastAsia" w:cs="宋体"/>
                <w:b w:val="0"/>
                <w:bCs w:val="0"/>
                <w:color w:val="auto"/>
                <w:sz w:val="24"/>
                <w:szCs w:val="24"/>
                <w:lang w:val="en-US" w:eastAsia="zh-CN"/>
              </w:rPr>
              <w:t>谈判</w:t>
            </w:r>
            <w:r>
              <w:rPr>
                <w:rFonts w:hint="eastAsia" w:cs="宋体"/>
                <w:b w:val="0"/>
                <w:bCs w:val="0"/>
                <w:color w:val="auto"/>
                <w:sz w:val="24"/>
                <w:szCs w:val="24"/>
              </w:rPr>
              <w:t>文件规定不符，将被视为实质性不响应，将导致响应无效）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8</w:t>
            </w:r>
          </w:p>
        </w:tc>
        <w:tc>
          <w:tcPr>
            <w:tcW w:w="1502" w:type="dxa"/>
            <w:vAlign w:val="center"/>
          </w:tcPr>
          <w:p>
            <w:pPr>
              <w:spacing w:line="440" w:lineRule="exact"/>
              <w:jc w:val="center"/>
              <w:rPr>
                <w:rFonts w:ascii="宋体" w:hAnsi="宋体"/>
                <w:color w:val="auto"/>
                <w:sz w:val="24"/>
                <w:szCs w:val="24"/>
              </w:rPr>
            </w:pPr>
            <w:r>
              <w:rPr>
                <w:rFonts w:hint="eastAsia" w:ascii="宋体" w:hAnsi="宋体"/>
                <w:color w:val="auto"/>
                <w:sz w:val="24"/>
                <w:szCs w:val="24"/>
              </w:rPr>
              <w:t>服务期限</w:t>
            </w:r>
          </w:p>
        </w:tc>
        <w:tc>
          <w:tcPr>
            <w:tcW w:w="7308" w:type="dxa"/>
            <w:vAlign w:val="center"/>
          </w:tcPr>
          <w:p>
            <w:pPr>
              <w:spacing w:line="520" w:lineRule="exact"/>
              <w:rPr>
                <w:rFonts w:hint="default" w:eastAsia="宋体"/>
                <w:color w:val="auto"/>
                <w:sz w:val="24"/>
                <w:szCs w:val="24"/>
                <w:lang w:val="en-US" w:eastAsia="zh-CN"/>
              </w:rPr>
            </w:pPr>
            <w:r>
              <w:rPr>
                <w:rFonts w:hint="default" w:eastAsia="宋体"/>
                <w:color w:val="auto"/>
                <w:sz w:val="24"/>
                <w:szCs w:val="24"/>
                <w:lang w:val="en-US" w:eastAsia="zh-CN"/>
              </w:rPr>
              <w:t>自试验检测合同生效之日起至竣工验收结束为止，满足工程进度需要。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9</w:t>
            </w:r>
          </w:p>
        </w:tc>
        <w:tc>
          <w:tcPr>
            <w:tcW w:w="1502"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color w:val="auto"/>
                <w:szCs w:val="24"/>
              </w:rPr>
            </w:pPr>
            <w:r>
              <w:rPr>
                <w:rFonts w:hint="eastAsia" w:ascii="宋体" w:hAnsi="宋体"/>
                <w:bCs/>
                <w:color w:val="auto"/>
                <w:kern w:val="2"/>
                <w:szCs w:val="24"/>
                <w:lang w:val="en-US"/>
              </w:rPr>
              <w:t>代理</w:t>
            </w:r>
            <w:r>
              <w:rPr>
                <w:rFonts w:hint="eastAsia" w:ascii="宋体" w:hAnsi="宋体"/>
                <w:bCs/>
                <w:color w:val="auto"/>
                <w:kern w:val="2"/>
                <w:szCs w:val="24"/>
              </w:rPr>
              <w:t>服务费</w:t>
            </w:r>
          </w:p>
        </w:tc>
        <w:tc>
          <w:tcPr>
            <w:tcW w:w="7308" w:type="dxa"/>
            <w:vAlign w:val="center"/>
          </w:tcPr>
          <w:p>
            <w:pPr>
              <w:pStyle w:val="100"/>
              <w:pBdr>
                <w:bottom w:val="none" w:color="auto" w:sz="0" w:space="0"/>
              </w:pBdr>
              <w:tabs>
                <w:tab w:val="clear" w:pos="4153"/>
                <w:tab w:val="clear" w:pos="8306"/>
              </w:tabs>
              <w:adjustRightInd/>
              <w:spacing w:line="440" w:lineRule="exact"/>
              <w:jc w:val="left"/>
              <w:textAlignment w:val="auto"/>
              <w:rPr>
                <w:rFonts w:hint="eastAsia" w:eastAsia="宋体"/>
                <w:color w:val="auto"/>
                <w:kern w:val="2"/>
                <w:szCs w:val="24"/>
                <w:lang w:val="en-US" w:eastAsia="zh-CN"/>
              </w:rPr>
            </w:pPr>
            <w:r>
              <w:rPr>
                <w:rFonts w:hint="eastAsia" w:ascii="Times New Roman"/>
                <w:bCs/>
                <w:szCs w:val="24"/>
                <w:lang w:val="en-US"/>
              </w:rPr>
              <w:t>本项目约定招标代理服务费由</w:t>
            </w:r>
            <w:r>
              <w:rPr>
                <w:rFonts w:hint="eastAsia" w:ascii="Times New Roman" w:eastAsia="宋体"/>
                <w:bCs/>
                <w:szCs w:val="24"/>
                <w:lang w:val="en-US" w:eastAsia="zh-CN"/>
              </w:rPr>
              <w:t>招标</w:t>
            </w:r>
            <w:r>
              <w:rPr>
                <w:rFonts w:hint="eastAsia" w:ascii="Times New Roman"/>
                <w:bCs/>
                <w:szCs w:val="24"/>
                <w:lang w:val="en-US"/>
              </w:rPr>
              <w:t>人支付</w:t>
            </w:r>
            <w:r>
              <w:rPr>
                <w:rFonts w:hint="eastAsia" w:ascii="Times New Roman" w:eastAsia="宋体"/>
                <w:bCs/>
                <w:szCs w:val="24"/>
                <w:lang w:val="en-US" w:eastAsia="zh-CN"/>
              </w:rPr>
              <w:t>，招标代理服务费参照原国家计委计价格[2002]1980号文件标准的30%计取</w:t>
            </w:r>
            <w:r>
              <w:rPr>
                <w:rFonts w:hint="eastAsia" w:ascii="Times New Roman"/>
                <w:bCs/>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10</w:t>
            </w:r>
          </w:p>
        </w:tc>
        <w:tc>
          <w:tcPr>
            <w:tcW w:w="1502" w:type="dxa"/>
            <w:vAlign w:val="center"/>
          </w:tcPr>
          <w:p>
            <w:pPr>
              <w:pStyle w:val="100"/>
              <w:pBdr>
                <w:bottom w:val="none" w:color="auto" w:sz="0" w:space="0"/>
              </w:pBdr>
              <w:tabs>
                <w:tab w:val="clear" w:pos="4153"/>
                <w:tab w:val="clear" w:pos="8306"/>
              </w:tabs>
              <w:adjustRightInd/>
              <w:spacing w:line="440" w:lineRule="exact"/>
              <w:textAlignment w:val="auto"/>
              <w:rPr>
                <w:rFonts w:hint="eastAsia" w:ascii="宋体" w:hAnsi="宋体" w:eastAsia="宋体"/>
                <w:bCs/>
                <w:color w:val="auto"/>
                <w:kern w:val="2"/>
                <w:szCs w:val="24"/>
                <w:lang w:eastAsia="zh-CN"/>
              </w:rPr>
            </w:pPr>
            <w:r>
              <w:rPr>
                <w:rFonts w:hint="eastAsia" w:ascii="宋体" w:hAnsi="宋体"/>
                <w:bCs/>
                <w:color w:val="auto"/>
                <w:kern w:val="2"/>
                <w:szCs w:val="24"/>
              </w:rPr>
              <w:t>履约保证金</w:t>
            </w:r>
            <w:r>
              <w:rPr>
                <w:rFonts w:hint="eastAsia" w:ascii="宋体" w:hAnsi="宋体"/>
                <w:bCs/>
                <w:color w:val="auto"/>
                <w:kern w:val="2"/>
                <w:szCs w:val="24"/>
                <w:lang w:eastAsia="zh-CN"/>
              </w:rPr>
              <w:t>（</w:t>
            </w:r>
            <w:r>
              <w:rPr>
                <w:rFonts w:hint="eastAsia" w:ascii="宋体" w:hAnsi="宋体"/>
                <w:bCs/>
                <w:color w:val="auto"/>
                <w:kern w:val="2"/>
                <w:szCs w:val="24"/>
                <w:lang w:val="en-US" w:eastAsia="zh-CN"/>
              </w:rPr>
              <w:t>本项目无须递交</w:t>
            </w:r>
            <w:r>
              <w:rPr>
                <w:rFonts w:hint="eastAsia" w:ascii="宋体" w:hAnsi="宋体"/>
                <w:bCs/>
                <w:color w:val="auto"/>
                <w:kern w:val="2"/>
                <w:szCs w:val="24"/>
                <w:lang w:eastAsia="zh-CN"/>
              </w:rPr>
              <w:t>）</w:t>
            </w:r>
          </w:p>
        </w:tc>
        <w:tc>
          <w:tcPr>
            <w:tcW w:w="7308" w:type="dxa"/>
            <w:vAlign w:val="center"/>
          </w:tcPr>
          <w:p>
            <w:pPr>
              <w:spacing w:line="520" w:lineRule="exact"/>
              <w:rPr>
                <w:color w:val="auto"/>
                <w:sz w:val="24"/>
                <w:szCs w:val="24"/>
              </w:rPr>
            </w:pPr>
            <w:r>
              <w:rPr>
                <w:color w:val="auto"/>
                <w:sz w:val="24"/>
                <w:szCs w:val="24"/>
              </w:rPr>
              <w:t>成交供应商在签订合同时应向采购人提交成交价</w:t>
            </w:r>
            <w:r>
              <w:rPr>
                <w:color w:val="auto"/>
                <w:sz w:val="24"/>
                <w:szCs w:val="24"/>
                <w:u w:val="single"/>
              </w:rPr>
              <w:t xml:space="preserve"> </w:t>
            </w:r>
            <w:r>
              <w:rPr>
                <w:rFonts w:hint="eastAsia"/>
                <w:color w:val="auto"/>
                <w:sz w:val="24"/>
                <w:szCs w:val="24"/>
                <w:u w:val="single"/>
                <w:lang w:val="en-US" w:eastAsia="zh-CN"/>
              </w:rPr>
              <w:t>/</w:t>
            </w:r>
            <w:r>
              <w:rPr>
                <w:color w:val="auto"/>
                <w:sz w:val="24"/>
                <w:szCs w:val="24"/>
                <w:u w:val="single"/>
              </w:rPr>
              <w:t xml:space="preserve"> </w:t>
            </w:r>
            <w:r>
              <w:rPr>
                <w:color w:val="auto"/>
                <w:sz w:val="24"/>
                <w:szCs w:val="24"/>
              </w:rPr>
              <w:t>的履约保证金；</w:t>
            </w:r>
          </w:p>
          <w:p>
            <w:pPr>
              <w:spacing w:line="520" w:lineRule="exact"/>
              <w:rPr>
                <w:color w:val="auto"/>
                <w:sz w:val="24"/>
                <w:szCs w:val="24"/>
              </w:rPr>
            </w:pPr>
            <w:r>
              <w:rPr>
                <w:color w:val="auto"/>
                <w:sz w:val="24"/>
                <w:szCs w:val="24"/>
              </w:rPr>
              <w:t>成交供应商可以通过转账、网银支付、汇票、支票、保证保险、银行履约保函等方式提交履约保证金。经服务期满</w:t>
            </w:r>
            <w:r>
              <w:rPr>
                <w:rFonts w:hint="eastAsia"/>
                <w:color w:val="auto"/>
                <w:sz w:val="24"/>
                <w:szCs w:val="24"/>
                <w:lang w:val="en-US" w:eastAsia="zh-CN"/>
              </w:rPr>
              <w:t>无相关问题后</w:t>
            </w:r>
            <w:r>
              <w:rPr>
                <w:color w:val="auto"/>
                <w:sz w:val="24"/>
                <w:szCs w:val="24"/>
              </w:rPr>
              <w:t>，凭</w:t>
            </w:r>
            <w:r>
              <w:rPr>
                <w:rFonts w:hint="eastAsia"/>
                <w:color w:val="auto"/>
                <w:sz w:val="24"/>
                <w:szCs w:val="24"/>
                <w:lang w:val="en-US" w:eastAsia="zh-CN"/>
              </w:rPr>
              <w:t>成交供应商</w:t>
            </w:r>
            <w:r>
              <w:rPr>
                <w:color w:val="auto"/>
                <w:sz w:val="24"/>
                <w:szCs w:val="24"/>
              </w:rPr>
              <w:t>提交的退款申请材料，退还履约保证金。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11</w:t>
            </w:r>
          </w:p>
        </w:tc>
        <w:tc>
          <w:tcPr>
            <w:tcW w:w="1502"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勘察及对接</w:t>
            </w:r>
          </w:p>
        </w:tc>
        <w:tc>
          <w:tcPr>
            <w:tcW w:w="7308" w:type="dxa"/>
            <w:vAlign w:val="center"/>
          </w:tcPr>
          <w:p>
            <w:pPr>
              <w:pStyle w:val="100"/>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rPr>
            </w:pPr>
            <w:r>
              <w:rPr>
                <w:rFonts w:hint="eastAsia" w:ascii="宋体" w:hAnsi="宋体" w:cs="宋体"/>
                <w:bCs/>
                <w:color w:val="auto"/>
                <w:kern w:val="2"/>
                <w:szCs w:val="24"/>
              </w:rPr>
              <w:t>请各供应商联系采购单位自行勘踏。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w:t>
            </w:r>
            <w:r>
              <w:rPr>
                <w:rFonts w:hint="eastAsia" w:ascii="宋体" w:hAnsi="宋体"/>
                <w:b/>
                <w:color w:val="auto"/>
                <w:kern w:val="2"/>
                <w:szCs w:val="24"/>
                <w:lang w:val="en-US"/>
              </w:rPr>
              <w:t>2</w:t>
            </w:r>
          </w:p>
        </w:tc>
        <w:tc>
          <w:tcPr>
            <w:tcW w:w="1502"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质疑与答疑</w:t>
            </w:r>
          </w:p>
        </w:tc>
        <w:tc>
          <w:tcPr>
            <w:tcW w:w="7308" w:type="dxa"/>
            <w:vAlign w:val="center"/>
          </w:tcPr>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lang w:val="en-US"/>
              </w:rPr>
            </w:pPr>
            <w:r>
              <w:rPr>
                <w:rFonts w:hint="eastAsia" w:ascii="宋体" w:hAnsi="宋体"/>
                <w:bCs/>
                <w:color w:val="auto"/>
                <w:kern w:val="2"/>
                <w:szCs w:val="24"/>
              </w:rPr>
              <w:t>供应商如果对采购文件内容有相关疑问，可以</w:t>
            </w:r>
            <w:r>
              <w:rPr>
                <w:rFonts w:hint="eastAsia" w:ascii="宋体" w:hAnsi="宋体"/>
                <w:bCs/>
                <w:color w:val="auto"/>
                <w:kern w:val="2"/>
                <w:szCs w:val="24"/>
                <w:lang w:val="en-US"/>
              </w:rPr>
              <w:t>通过</w:t>
            </w:r>
            <w:r>
              <w:rPr>
                <w:rFonts w:hint="eastAsia" w:ascii="宋体" w:hAnsi="宋体"/>
                <w:bCs/>
                <w:color w:val="auto"/>
                <w:kern w:val="2"/>
                <w:szCs w:val="24"/>
              </w:rPr>
              <w:t>邮件</w:t>
            </w:r>
            <w:r>
              <w:rPr>
                <w:rFonts w:hint="eastAsia" w:ascii="宋体" w:hAnsi="宋体"/>
                <w:bCs/>
                <w:color w:val="auto"/>
                <w:kern w:val="2"/>
                <w:szCs w:val="24"/>
                <w:lang w:val="en-US"/>
              </w:rPr>
              <w:t>形式</w:t>
            </w:r>
            <w:r>
              <w:rPr>
                <w:rFonts w:hint="eastAsia" w:ascii="宋体" w:hAnsi="宋体"/>
                <w:bCs/>
                <w:color w:val="auto"/>
                <w:kern w:val="2"/>
                <w:szCs w:val="24"/>
              </w:rPr>
              <w:t>向采购代理机构提出（疑问文件以文档形式提供，如WORD文档等）。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lang w:val="en-US"/>
              </w:rPr>
            </w:pPr>
            <w:r>
              <w:rPr>
                <w:rFonts w:hint="eastAsia" w:ascii="宋体" w:hAnsi="宋体"/>
                <w:b/>
                <w:color w:val="auto"/>
                <w:kern w:val="2"/>
                <w:szCs w:val="24"/>
                <w:lang w:val="en-US"/>
              </w:rPr>
              <w:t>13</w:t>
            </w:r>
          </w:p>
        </w:tc>
        <w:tc>
          <w:tcPr>
            <w:tcW w:w="1502"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响应文件份数及要求</w:t>
            </w:r>
          </w:p>
        </w:tc>
        <w:tc>
          <w:tcPr>
            <w:tcW w:w="7308" w:type="dxa"/>
            <w:vAlign w:val="center"/>
          </w:tcPr>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ascii="宋体" w:hAnsi="宋体"/>
                <w:b/>
                <w:color w:val="auto"/>
                <w:kern w:val="2"/>
                <w:szCs w:val="24"/>
              </w:rPr>
              <w:t>1</w:t>
            </w:r>
            <w:r>
              <w:rPr>
                <w:rFonts w:hint="eastAsia" w:ascii="宋体" w:hAnsi="宋体"/>
                <w:b/>
                <w:color w:val="auto"/>
                <w:kern w:val="2"/>
                <w:szCs w:val="24"/>
              </w:rPr>
              <w:t>、提供纸质响应文件正本1份、副本</w:t>
            </w:r>
            <w:r>
              <w:rPr>
                <w:rFonts w:hint="eastAsia" w:ascii="宋体" w:hAnsi="宋体"/>
                <w:b/>
                <w:color w:val="auto"/>
                <w:kern w:val="2"/>
                <w:szCs w:val="24"/>
                <w:lang w:val="en-US"/>
              </w:rPr>
              <w:t>2</w:t>
            </w:r>
            <w:r>
              <w:rPr>
                <w:rFonts w:hint="eastAsia" w:ascii="宋体" w:hAnsi="宋体"/>
                <w:b/>
                <w:color w:val="auto"/>
                <w:kern w:val="2"/>
                <w:szCs w:val="24"/>
              </w:rPr>
              <w:t>份</w:t>
            </w:r>
            <w:r>
              <w:rPr>
                <w:rFonts w:hint="eastAsia" w:ascii="宋体" w:hAnsi="宋体"/>
                <w:b/>
                <w:color w:val="auto"/>
                <w:kern w:val="2"/>
                <w:szCs w:val="24"/>
                <w:lang w:val="en-US"/>
              </w:rPr>
              <w:t>，</w:t>
            </w:r>
            <w:r>
              <w:rPr>
                <w:rFonts w:hint="eastAsia" w:ascii="宋体" w:hAnsi="宋体"/>
                <w:b/>
                <w:color w:val="auto"/>
                <w:kern w:val="2"/>
                <w:szCs w:val="24"/>
              </w:rPr>
              <w:t>胶装成册、密封提交</w:t>
            </w:r>
            <w:r>
              <w:rPr>
                <w:rFonts w:hint="eastAsia" w:ascii="宋体" w:hAnsi="宋体"/>
                <w:b/>
                <w:color w:val="auto"/>
                <w:kern w:val="2"/>
                <w:szCs w:val="24"/>
                <w:lang w:val="en-US"/>
              </w:rPr>
              <w:t>。2、供应商须同时递交响应文件电子版（加盖公章或电子章）1份（U盘存储）。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lang w:val="en-US"/>
              </w:rPr>
            </w:pPr>
            <w:r>
              <w:rPr>
                <w:rFonts w:hint="eastAsia" w:ascii="宋体" w:hAnsi="宋体"/>
                <w:b/>
                <w:color w:val="auto"/>
                <w:kern w:val="2"/>
                <w:szCs w:val="24"/>
                <w:lang w:val="en-US"/>
              </w:rPr>
              <w:t>14</w:t>
            </w:r>
          </w:p>
        </w:tc>
        <w:tc>
          <w:tcPr>
            <w:tcW w:w="1502"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备注一</w:t>
            </w:r>
          </w:p>
        </w:tc>
        <w:tc>
          <w:tcPr>
            <w:tcW w:w="7308" w:type="dxa"/>
            <w:vAlign w:val="center"/>
          </w:tcPr>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1、存在以下不良信用记录情形之一的，不得推荐为成交候选供应商,评审时</w:t>
            </w:r>
            <w:r>
              <w:rPr>
                <w:rFonts w:hint="eastAsia" w:ascii="宋体" w:hAnsi="宋体"/>
                <w:bCs/>
                <w:color w:val="auto"/>
                <w:kern w:val="2"/>
                <w:szCs w:val="24"/>
                <w:lang w:val="en-US" w:eastAsia="zh-CN"/>
              </w:rPr>
              <w:t>谈判</w:t>
            </w:r>
            <w:r>
              <w:rPr>
                <w:rFonts w:hint="eastAsia" w:ascii="宋体" w:hAnsi="宋体"/>
                <w:bCs/>
                <w:color w:val="auto"/>
                <w:kern w:val="2"/>
                <w:szCs w:val="24"/>
              </w:rPr>
              <w:t>小组应当按照下列第3条不良信用记录查询渠道对供应商是否存在不良信用记录进行查询：</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（1）供应商被人民法院列入失信被执行人的；</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（2）供应商被市场监督管理部门列入严重违法失信企业名录的；</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（3）供应商被税务部门列入重大税收违法案件当事人名单的；</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（4）供应商被政府采购监管部门列入政府采购严重违法失信行为记录名单的。</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2、联合体供应商，联合体任何一方存在上述不良信用记录的，视同联合体存在不良信用记录。</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3、不良信用记录查询渠道如下：</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（1）失信被执行人：信用中国官网（www.creditchina.gov.cn）</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（2）严重违法失信企业名录：信用中国官网（www.creditchina.gov.cn）</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（3）重大税收违法案件当事人名单：信用中国官网（www.creditchina.gov.cn）</w:t>
            </w:r>
          </w:p>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（4）政府采购严重违法失信行为记录名单：中国政府采购官网（www.ccgp.gov.cn）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
                <w:color w:val="auto"/>
                <w:kern w:val="2"/>
                <w:szCs w:val="24"/>
                <w:lang w:val="en-US"/>
              </w:rPr>
            </w:pPr>
            <w:r>
              <w:rPr>
                <w:rFonts w:hint="eastAsia" w:ascii="宋体" w:hAnsi="宋体"/>
                <w:b/>
                <w:color w:val="auto"/>
                <w:kern w:val="2"/>
                <w:szCs w:val="24"/>
                <w:lang w:val="en-US"/>
              </w:rPr>
              <w:t>15</w:t>
            </w:r>
          </w:p>
        </w:tc>
        <w:tc>
          <w:tcPr>
            <w:tcW w:w="1502" w:type="dxa"/>
            <w:vAlign w:val="center"/>
          </w:tcPr>
          <w:p>
            <w:pPr>
              <w:pStyle w:val="100"/>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备注二</w:t>
            </w:r>
          </w:p>
        </w:tc>
        <w:tc>
          <w:tcPr>
            <w:tcW w:w="7308" w:type="dxa"/>
            <w:vAlign w:val="center"/>
          </w:tcPr>
          <w:p>
            <w:pPr>
              <w:pStyle w:val="10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特别提醒：供应商参与政府采购，应当诚信守法、公平竞争。如有以提供虚假材料（包括但不限于填报的股东出资额、虚假技术参数响应、虚假业绩、虚假证书、虚假检测报告等）、串通投标、隐瞒失信信息等谋取中标的行为，一经发现，将报监管部门严肃查处。</w:t>
            </w:r>
          </w:p>
        </w:tc>
      </w:tr>
    </w:tbl>
    <w:p>
      <w:pPr>
        <w:rPr>
          <w:rFonts w:ascii="宋体" w:hAnsi="宋体" w:cs="宋体"/>
          <w:color w:val="auto"/>
          <w:szCs w:val="24"/>
        </w:rPr>
      </w:pPr>
    </w:p>
    <w:p>
      <w:pPr>
        <w:spacing w:before="20" w:after="20"/>
        <w:ind w:firstLine="240" w:firstLineChars="100"/>
        <w:jc w:val="center"/>
        <w:rPr>
          <w:rFonts w:ascii="宋体" w:hAnsi="宋体" w:cs="宋体"/>
          <w:color w:val="auto"/>
          <w:sz w:val="24"/>
          <w:szCs w:val="24"/>
        </w:rPr>
      </w:pPr>
    </w:p>
    <w:p>
      <w:pPr>
        <w:rPr>
          <w:rFonts w:ascii="宋体" w:hAnsi="宋体" w:cs="宋体"/>
          <w:color w:val="auto"/>
          <w:sz w:val="24"/>
          <w:szCs w:val="24"/>
        </w:rPr>
      </w:pPr>
      <w:r>
        <w:rPr>
          <w:rFonts w:hint="eastAsia" w:ascii="宋体" w:hAnsi="宋体" w:cs="宋体"/>
          <w:color w:val="auto"/>
          <w:sz w:val="24"/>
          <w:szCs w:val="24"/>
        </w:rPr>
        <w:br w:type="page"/>
      </w:r>
    </w:p>
    <w:bookmarkEnd w:id="48"/>
    <w:bookmarkEnd w:id="49"/>
    <w:bookmarkEnd w:id="50"/>
    <w:p>
      <w:pPr>
        <w:pStyle w:val="10"/>
        <w:spacing w:before="0" w:after="0" w:line="520" w:lineRule="exact"/>
        <w:ind w:firstLine="240" w:firstLineChars="100"/>
        <w:jc w:val="center"/>
        <w:rPr>
          <w:rFonts w:ascii="宋体" w:hAnsi="宋体" w:eastAsia="宋体" w:cs="宋体"/>
          <w:color w:val="auto"/>
          <w:sz w:val="24"/>
          <w:szCs w:val="24"/>
        </w:rPr>
      </w:pPr>
      <w:bookmarkStart w:id="51" w:name="_Toc7480"/>
      <w:bookmarkStart w:id="52" w:name="_Toc7878"/>
      <w:bookmarkStart w:id="53" w:name="_Toc9205"/>
      <w:bookmarkStart w:id="54" w:name="_Toc216158630"/>
      <w:r>
        <w:rPr>
          <w:rFonts w:hint="eastAsia" w:ascii="宋体" w:hAnsi="宋体" w:eastAsia="宋体" w:cs="宋体"/>
          <w:color w:val="auto"/>
          <w:sz w:val="24"/>
          <w:szCs w:val="24"/>
        </w:rPr>
        <w:t>（二）供应商资格</w:t>
      </w:r>
      <w:bookmarkEnd w:id="51"/>
      <w:bookmarkEnd w:id="52"/>
      <w:bookmarkEnd w:id="53"/>
    </w:p>
    <w:p>
      <w:pPr>
        <w:pStyle w:val="2"/>
        <w:spacing w:after="0" w:line="520" w:lineRule="exact"/>
        <w:ind w:firstLine="480" w:firstLineChars="200"/>
        <w:jc w:val="center"/>
        <w:rPr>
          <w:color w:val="auto"/>
        </w:rPr>
      </w:pPr>
      <w:bookmarkStart w:id="55" w:name="_Toc363199266"/>
      <w:bookmarkStart w:id="56" w:name="_Toc438648662"/>
      <w:bookmarkStart w:id="57" w:name="_Toc216158625"/>
      <w:r>
        <w:rPr>
          <w:rFonts w:hint="eastAsia"/>
          <w:color w:val="auto"/>
        </w:rPr>
        <w:t>见本项目采购公告</w:t>
      </w:r>
    </w:p>
    <w:p>
      <w:pPr>
        <w:pStyle w:val="10"/>
        <w:spacing w:before="0" w:after="0" w:line="520" w:lineRule="exact"/>
        <w:jc w:val="center"/>
        <w:rPr>
          <w:rFonts w:ascii="宋体" w:hAnsi="宋体" w:eastAsia="宋体" w:cs="宋体"/>
          <w:color w:val="auto"/>
          <w:sz w:val="24"/>
          <w:szCs w:val="24"/>
        </w:rPr>
      </w:pPr>
      <w:bookmarkStart w:id="58" w:name="_Toc24351"/>
      <w:bookmarkStart w:id="59" w:name="_Toc15147"/>
      <w:bookmarkStart w:id="60" w:name="_Toc27352"/>
      <w:r>
        <w:rPr>
          <w:rFonts w:hint="eastAsia" w:ascii="宋体" w:hAnsi="宋体" w:eastAsia="宋体" w:cs="宋体"/>
          <w:color w:val="auto"/>
          <w:sz w:val="24"/>
          <w:szCs w:val="24"/>
        </w:rPr>
        <w:t>（三）供应商必须提交的响应文件内容</w:t>
      </w:r>
      <w:bookmarkEnd w:id="55"/>
      <w:bookmarkEnd w:id="56"/>
      <w:bookmarkEnd w:id="57"/>
      <w:bookmarkEnd w:id="58"/>
      <w:bookmarkEnd w:id="59"/>
      <w:bookmarkEnd w:id="60"/>
    </w:p>
    <w:p>
      <w:pPr>
        <w:spacing w:line="520" w:lineRule="exact"/>
        <w:ind w:firstLine="480" w:firstLineChars="200"/>
        <w:jc w:val="left"/>
        <w:rPr>
          <w:rFonts w:ascii="宋体" w:hAnsi="宋体"/>
          <w:color w:val="auto"/>
          <w:sz w:val="24"/>
          <w:szCs w:val="24"/>
        </w:rPr>
      </w:pPr>
      <w:r>
        <w:rPr>
          <w:rFonts w:hint="eastAsia" w:ascii="宋体" w:hAnsi="宋体"/>
          <w:color w:val="auto"/>
          <w:sz w:val="24"/>
          <w:szCs w:val="24"/>
        </w:rPr>
        <w:t>1、报价单；</w:t>
      </w:r>
    </w:p>
    <w:p>
      <w:pPr>
        <w:spacing w:line="520" w:lineRule="exact"/>
        <w:ind w:firstLine="480" w:firstLineChars="200"/>
        <w:jc w:val="left"/>
        <w:rPr>
          <w:rFonts w:ascii="宋体" w:hAnsi="宋体"/>
          <w:color w:val="auto"/>
          <w:sz w:val="24"/>
          <w:szCs w:val="24"/>
        </w:rPr>
      </w:pPr>
      <w:r>
        <w:rPr>
          <w:rFonts w:hint="eastAsia" w:ascii="宋体" w:hAnsi="宋体"/>
          <w:color w:val="auto"/>
          <w:sz w:val="24"/>
          <w:szCs w:val="24"/>
        </w:rPr>
        <w:t>2、供应商基本信息；</w:t>
      </w:r>
    </w:p>
    <w:p>
      <w:pPr>
        <w:spacing w:line="520" w:lineRule="exact"/>
        <w:ind w:firstLine="480" w:firstLineChars="200"/>
        <w:jc w:val="left"/>
        <w:rPr>
          <w:rFonts w:ascii="宋体" w:hAnsi="宋体"/>
          <w:color w:val="auto"/>
          <w:sz w:val="24"/>
          <w:szCs w:val="24"/>
        </w:rPr>
      </w:pPr>
      <w:r>
        <w:rPr>
          <w:rFonts w:hint="eastAsia" w:ascii="宋体" w:hAnsi="宋体"/>
          <w:color w:val="auto"/>
          <w:sz w:val="24"/>
          <w:szCs w:val="24"/>
        </w:rPr>
        <w:t>3、谈判授权书；</w:t>
      </w:r>
    </w:p>
    <w:p>
      <w:pPr>
        <w:spacing w:line="520" w:lineRule="exact"/>
        <w:ind w:firstLine="480" w:firstLineChars="200"/>
        <w:jc w:val="left"/>
        <w:rPr>
          <w:rFonts w:ascii="宋体" w:hAnsi="宋体"/>
          <w:color w:val="auto"/>
          <w:sz w:val="24"/>
          <w:szCs w:val="24"/>
        </w:rPr>
      </w:pPr>
      <w:r>
        <w:rPr>
          <w:rFonts w:hint="eastAsia" w:ascii="宋体" w:hAnsi="宋体"/>
          <w:color w:val="auto"/>
          <w:sz w:val="24"/>
          <w:szCs w:val="24"/>
        </w:rPr>
        <w:t>4、谈判响应函；</w:t>
      </w:r>
    </w:p>
    <w:p>
      <w:pPr>
        <w:spacing w:line="520" w:lineRule="exact"/>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pPr>
        <w:spacing w:line="520" w:lineRule="exact"/>
        <w:ind w:firstLine="480" w:firstLineChars="200"/>
        <w:jc w:val="left"/>
        <w:rPr>
          <w:rFonts w:ascii="宋体" w:hAnsi="宋体"/>
          <w:color w:val="auto"/>
          <w:sz w:val="24"/>
          <w:szCs w:val="24"/>
        </w:rPr>
      </w:pPr>
      <w:r>
        <w:rPr>
          <w:rFonts w:hint="eastAsia" w:ascii="宋体" w:hAnsi="宋体"/>
          <w:color w:val="auto"/>
          <w:sz w:val="24"/>
          <w:szCs w:val="24"/>
        </w:rPr>
        <w:t>6、响应情况表；</w:t>
      </w:r>
    </w:p>
    <w:p>
      <w:pPr>
        <w:spacing w:line="520" w:lineRule="exact"/>
        <w:ind w:firstLine="480" w:firstLineChars="200"/>
        <w:jc w:val="left"/>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相关服务承诺函；</w:t>
      </w:r>
    </w:p>
    <w:p>
      <w:pPr>
        <w:spacing w:line="520" w:lineRule="exact"/>
        <w:ind w:firstLine="480" w:firstLineChars="200"/>
        <w:jc w:val="left"/>
        <w:rPr>
          <w:rFonts w:ascii="宋体" w:hAnsi="宋体" w:cs="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、谈判文件要求和供应商认为需要提供的其它说明和资料； </w:t>
      </w:r>
    </w:p>
    <w:p>
      <w:pPr>
        <w:pStyle w:val="10"/>
        <w:spacing w:before="0" w:after="0" w:line="520" w:lineRule="exact"/>
        <w:jc w:val="center"/>
        <w:rPr>
          <w:rFonts w:ascii="宋体" w:hAnsi="宋体" w:eastAsia="宋体" w:cs="宋体"/>
          <w:color w:val="auto"/>
          <w:sz w:val="24"/>
          <w:szCs w:val="24"/>
        </w:rPr>
      </w:pPr>
      <w:bookmarkStart w:id="61" w:name="_Toc21125"/>
      <w:bookmarkStart w:id="62" w:name="_Toc3541"/>
      <w:bookmarkStart w:id="63" w:name="_Toc10637"/>
      <w:bookmarkStart w:id="64" w:name="（四）响应文件的提交"/>
      <w:bookmarkStart w:id="65" w:name="（三）供应商必须提交的响应文件内容"/>
      <w:r>
        <w:rPr>
          <w:rFonts w:hint="eastAsia" w:ascii="宋体" w:hAnsi="宋体" w:eastAsia="宋体" w:cs="宋体"/>
          <w:color w:val="auto"/>
          <w:sz w:val="24"/>
          <w:szCs w:val="24"/>
        </w:rPr>
        <w:t>（四）响应文件的提交</w:t>
      </w:r>
      <w:bookmarkEnd w:id="61"/>
      <w:bookmarkEnd w:id="62"/>
      <w:bookmarkEnd w:id="63"/>
    </w:p>
    <w:bookmarkEnd w:id="64"/>
    <w:bookmarkEnd w:id="65"/>
    <w:p>
      <w:pPr>
        <w:pStyle w:val="10"/>
        <w:spacing w:before="0" w:after="0" w:line="520" w:lineRule="exact"/>
        <w:ind w:firstLine="480" w:firstLineChars="200"/>
        <w:jc w:val="both"/>
        <w:rPr>
          <w:rFonts w:ascii="宋体" w:hAnsi="宋体" w:eastAsia="宋体" w:cs="宋体"/>
          <w:b w:val="0"/>
          <w:color w:val="auto"/>
          <w:sz w:val="24"/>
          <w:szCs w:val="24"/>
        </w:rPr>
      </w:pPr>
      <w:bookmarkStart w:id="66" w:name="_Toc8552"/>
      <w:bookmarkStart w:id="67" w:name="_Toc32094"/>
      <w:bookmarkStart w:id="68" w:name="_Toc15127"/>
      <w:bookmarkStart w:id="69" w:name="（五）谈判程序"/>
      <w:r>
        <w:rPr>
          <w:rFonts w:hint="eastAsia" w:ascii="宋体" w:hAnsi="宋体" w:eastAsia="宋体" w:cs="宋体"/>
          <w:b w:val="0"/>
          <w:color w:val="auto"/>
          <w:sz w:val="24"/>
          <w:szCs w:val="24"/>
        </w:rPr>
        <w:t>1、响应文件必须在响应截止时间前在开标现场递交纸质响应文件。</w:t>
      </w:r>
      <w:bookmarkEnd w:id="66"/>
    </w:p>
    <w:p>
      <w:pPr>
        <w:pStyle w:val="10"/>
        <w:spacing w:before="0" w:after="0" w:line="520" w:lineRule="exact"/>
        <w:ind w:firstLine="480" w:firstLineChars="200"/>
        <w:jc w:val="both"/>
        <w:rPr>
          <w:rFonts w:ascii="宋体" w:hAnsi="宋体" w:eastAsia="宋体" w:cs="宋体"/>
          <w:b w:val="0"/>
          <w:color w:val="auto"/>
          <w:sz w:val="24"/>
          <w:szCs w:val="24"/>
        </w:rPr>
      </w:pPr>
      <w:bookmarkStart w:id="70" w:name="_Toc1708"/>
      <w:r>
        <w:rPr>
          <w:rFonts w:hint="eastAsia" w:ascii="宋体" w:hAnsi="宋体" w:eastAsia="宋体" w:cs="宋体"/>
          <w:b w:val="0"/>
          <w:color w:val="auto"/>
          <w:sz w:val="24"/>
          <w:szCs w:val="24"/>
        </w:rPr>
        <w:t>2、供应商应在响应文件密封袋中提供纸质文件（1正</w:t>
      </w:r>
      <w:r>
        <w:rPr>
          <w:rFonts w:hint="eastAsia" w:ascii="宋体" w:hAnsi="宋体" w:eastAsia="宋体" w:cs="宋体"/>
          <w:b w:val="0"/>
          <w:color w:val="auto"/>
          <w:sz w:val="24"/>
          <w:szCs w:val="24"/>
          <w:lang w:val="en-US" w:eastAsia="zh-CN"/>
        </w:rPr>
        <w:t>2</w:t>
      </w:r>
      <w:r>
        <w:rPr>
          <w:rFonts w:hint="eastAsia" w:ascii="宋体" w:hAnsi="宋体" w:eastAsia="宋体" w:cs="宋体"/>
          <w:b w:val="0"/>
          <w:color w:val="auto"/>
          <w:sz w:val="24"/>
          <w:szCs w:val="24"/>
        </w:rPr>
        <w:t>副），胶装成册、密封提交。</w:t>
      </w:r>
      <w:bookmarkEnd w:id="70"/>
    </w:p>
    <w:p>
      <w:pPr>
        <w:pStyle w:val="10"/>
        <w:spacing w:before="0" w:after="0" w:line="520" w:lineRule="exact"/>
        <w:jc w:val="center"/>
        <w:rPr>
          <w:rFonts w:ascii="宋体" w:hAnsi="宋体" w:eastAsia="宋体" w:cs="宋体"/>
          <w:color w:val="auto"/>
          <w:sz w:val="24"/>
          <w:szCs w:val="24"/>
        </w:rPr>
      </w:pPr>
      <w:bookmarkStart w:id="71" w:name="_Toc28376"/>
      <w:r>
        <w:rPr>
          <w:rFonts w:hint="eastAsia" w:ascii="宋体" w:hAnsi="宋体" w:eastAsia="宋体" w:cs="宋体"/>
          <w:color w:val="auto"/>
          <w:sz w:val="24"/>
          <w:szCs w:val="24"/>
        </w:rPr>
        <w:t>（五）谈判程序</w:t>
      </w:r>
      <w:bookmarkEnd w:id="67"/>
      <w:bookmarkEnd w:id="68"/>
      <w:bookmarkEnd w:id="71"/>
    </w:p>
    <w:bookmarkEnd w:id="69"/>
    <w:p>
      <w:pPr>
        <w:tabs>
          <w:tab w:val="left" w:pos="900"/>
        </w:tabs>
        <w:spacing w:line="520" w:lineRule="exact"/>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1、谈判人员是按规定组成的三人或三人以上的谈判小组。</w:t>
      </w:r>
    </w:p>
    <w:p>
      <w:pPr>
        <w:tabs>
          <w:tab w:val="left" w:pos="900"/>
        </w:tabs>
        <w:spacing w:line="520" w:lineRule="exact"/>
        <w:ind w:firstLine="480" w:firstLineChars="200"/>
        <w:jc w:val="left"/>
        <w:rPr>
          <w:rFonts w:ascii="宋体" w:hAnsi="宋体" w:cs="Arial"/>
          <w:color w:val="auto"/>
          <w:sz w:val="24"/>
          <w:szCs w:val="24"/>
        </w:rPr>
      </w:pPr>
      <w:r>
        <w:rPr>
          <w:rFonts w:hint="eastAsia" w:ascii="宋体" w:hAnsi="宋体" w:cs="Arial"/>
          <w:color w:val="auto"/>
          <w:sz w:val="24"/>
          <w:szCs w:val="24"/>
        </w:rPr>
        <w:t>2、在掌握了供应商的基本情况后，谈判小组将按签到顺序，与供应商分别进行谈判。</w:t>
      </w:r>
    </w:p>
    <w:p>
      <w:pPr>
        <w:tabs>
          <w:tab w:val="left" w:pos="900"/>
        </w:tabs>
        <w:spacing w:line="520" w:lineRule="exact"/>
        <w:ind w:firstLine="480" w:firstLineChars="200"/>
        <w:jc w:val="left"/>
        <w:rPr>
          <w:rFonts w:ascii="宋体" w:hAnsi="宋体" w:cs="Arial"/>
          <w:color w:val="auto"/>
          <w:sz w:val="24"/>
          <w:szCs w:val="24"/>
        </w:rPr>
      </w:pPr>
      <w:r>
        <w:rPr>
          <w:rFonts w:hint="eastAsia" w:ascii="宋体" w:hAnsi="宋体" w:cs="Arial"/>
          <w:color w:val="auto"/>
          <w:sz w:val="24"/>
          <w:szCs w:val="24"/>
        </w:rPr>
        <w:t>3、谈判是</w:t>
      </w:r>
      <w:r>
        <w:rPr>
          <w:rFonts w:ascii="宋体" w:hAnsi="宋体" w:cs="Arial"/>
          <w:color w:val="auto"/>
          <w:sz w:val="24"/>
          <w:szCs w:val="24"/>
        </w:rPr>
        <w:t>分别</w:t>
      </w:r>
      <w:r>
        <w:rPr>
          <w:rFonts w:hint="eastAsia" w:ascii="宋体" w:hAnsi="宋体" w:cs="Arial"/>
          <w:color w:val="auto"/>
          <w:sz w:val="24"/>
          <w:szCs w:val="24"/>
        </w:rPr>
        <w:t>单独进行的。供应商不得与其他参与谈判的供应商相互串通；谈判小组也不得将与某一供应商的谈判情况向其他供应商及其关系人透露。</w:t>
      </w:r>
    </w:p>
    <w:p>
      <w:pPr>
        <w:tabs>
          <w:tab w:val="left" w:pos="900"/>
        </w:tabs>
        <w:spacing w:line="520" w:lineRule="exact"/>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pPr>
        <w:pStyle w:val="10"/>
        <w:spacing w:before="0" w:after="0" w:line="520" w:lineRule="exact"/>
        <w:ind w:firstLine="480" w:firstLineChars="200"/>
        <w:jc w:val="both"/>
        <w:rPr>
          <w:rFonts w:ascii="宋体" w:hAnsi="宋体" w:eastAsia="宋体" w:cs="宋体"/>
          <w:b w:val="0"/>
          <w:bCs/>
          <w:color w:val="auto"/>
          <w:sz w:val="24"/>
          <w:szCs w:val="24"/>
        </w:rPr>
      </w:pPr>
      <w:bookmarkStart w:id="72" w:name="_Toc9855"/>
      <w:bookmarkStart w:id="73" w:name="_Toc6912"/>
      <w:bookmarkStart w:id="74" w:name="_Toc18076"/>
      <w:r>
        <w:rPr>
          <w:rFonts w:hint="eastAsia" w:ascii="宋体" w:hAnsi="宋体" w:eastAsia="宋体" w:cs="宋体"/>
          <w:b w:val="0"/>
          <w:bCs/>
          <w:color w:val="auto"/>
          <w:sz w:val="24"/>
          <w:szCs w:val="24"/>
        </w:rPr>
        <w:t>5、谈判结束后，谈判小组将要求所有符合条件的供应商在规定的时间内进行最后的报价。</w:t>
      </w:r>
      <w:bookmarkEnd w:id="72"/>
      <w:bookmarkEnd w:id="73"/>
      <w:bookmarkEnd w:id="74"/>
    </w:p>
    <w:p>
      <w:pPr>
        <w:tabs>
          <w:tab w:val="left" w:pos="900"/>
        </w:tabs>
        <w:spacing w:line="520" w:lineRule="exact"/>
        <w:ind w:firstLine="480" w:firstLineChars="200"/>
        <w:jc w:val="left"/>
        <w:rPr>
          <w:rFonts w:ascii="宋体" w:hAnsi="宋体" w:cs="宋体"/>
          <w:color w:val="auto"/>
          <w:sz w:val="24"/>
          <w:szCs w:val="24"/>
        </w:rPr>
      </w:pPr>
      <w:bookmarkStart w:id="75" w:name="_Toc9547"/>
      <w:bookmarkStart w:id="76" w:name="_Toc110"/>
      <w:r>
        <w:rPr>
          <w:rFonts w:hint="eastAsia" w:ascii="宋体" w:hAnsi="宋体" w:cs="宋体"/>
          <w:bCs/>
          <w:color w:val="auto"/>
          <w:sz w:val="24"/>
          <w:szCs w:val="24"/>
        </w:rPr>
        <w:t>6、供应商必须在规定的时间内将自己在谈判中作出的澄清、变动以及最终的报价，经</w:t>
      </w:r>
      <w:bookmarkEnd w:id="75"/>
      <w:bookmarkEnd w:id="76"/>
      <w:r>
        <w:rPr>
          <w:rFonts w:hint="eastAsia" w:ascii="宋体" w:hAnsi="宋体" w:cs="Arial"/>
          <w:color w:val="auto"/>
          <w:sz w:val="24"/>
          <w:szCs w:val="24"/>
        </w:rPr>
        <w:t>法定代表人或被授权代表签字后，以书面的方式提交给谈判小组。</w:t>
      </w:r>
    </w:p>
    <w:p>
      <w:pPr>
        <w:pStyle w:val="10"/>
        <w:spacing w:before="0" w:after="0" w:line="520" w:lineRule="exact"/>
        <w:jc w:val="center"/>
        <w:rPr>
          <w:rFonts w:ascii="宋体" w:hAnsi="宋体" w:eastAsia="宋体" w:cs="宋体"/>
          <w:color w:val="auto"/>
          <w:sz w:val="24"/>
          <w:szCs w:val="24"/>
        </w:rPr>
      </w:pPr>
      <w:bookmarkStart w:id="77" w:name="_Toc16969"/>
      <w:bookmarkStart w:id="78" w:name="_Toc23066"/>
      <w:bookmarkStart w:id="79" w:name="_Toc17899"/>
      <w:bookmarkStart w:id="80" w:name="（六）评审及异常情况处理"/>
      <w:r>
        <w:rPr>
          <w:rFonts w:hint="eastAsia" w:ascii="宋体" w:hAnsi="宋体" w:eastAsia="宋体" w:cs="宋体"/>
          <w:color w:val="auto"/>
          <w:sz w:val="24"/>
          <w:szCs w:val="24"/>
        </w:rPr>
        <w:t>（六）评审及异常情况处理</w:t>
      </w:r>
      <w:bookmarkEnd w:id="77"/>
      <w:bookmarkEnd w:id="78"/>
      <w:bookmarkEnd w:id="79"/>
    </w:p>
    <w:bookmarkEnd w:id="80"/>
    <w:p>
      <w:pPr>
        <w:spacing w:line="520" w:lineRule="exact"/>
        <w:ind w:firstLine="480" w:firstLineChars="200"/>
        <w:rPr>
          <w:rFonts w:ascii="宋体" w:hAnsi="宋体" w:cs="Arial"/>
          <w:color w:val="auto"/>
          <w:sz w:val="24"/>
          <w:szCs w:val="24"/>
        </w:rPr>
      </w:pPr>
      <w:r>
        <w:rPr>
          <w:rFonts w:hint="eastAsia" w:ascii="宋体" w:hAnsi="宋体"/>
          <w:color w:val="auto"/>
          <w:sz w:val="24"/>
          <w:szCs w:val="24"/>
        </w:rPr>
        <w:t>1、</w:t>
      </w: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2、谈判时出现以下情况之一的，将予以废标：</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（1）符合专业条件的供应商或者对采购文件作实质性响应的供应商不足三家的；</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（2）供应商的报价均超过了采购预算，经过多轮谈判仍不能降到预算内、且采购人不能支付的；</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（3）经过谈判，供应商所提供的货物服务仍无法满足谈判文件实质性要求、影响工作的；</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（4）出现影响采购公正的违法、违规行为的；</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（5）因重大变故，采购任务取消的。</w:t>
      </w:r>
    </w:p>
    <w:p>
      <w:pPr>
        <w:spacing w:line="520" w:lineRule="exact"/>
        <w:ind w:firstLine="480" w:firstLineChars="200"/>
        <w:jc w:val="left"/>
        <w:rPr>
          <w:rFonts w:ascii="宋体" w:hAnsi="宋体" w:cs="Arial"/>
          <w:color w:val="auto"/>
          <w:sz w:val="24"/>
          <w:szCs w:val="24"/>
        </w:rPr>
      </w:pPr>
      <w:r>
        <w:rPr>
          <w:rFonts w:hint="eastAsia" w:ascii="宋体" w:hAnsi="宋体" w:cs="Arial"/>
          <w:color w:val="auto"/>
          <w:sz w:val="24"/>
          <w:szCs w:val="24"/>
        </w:rPr>
        <w:t>3、若废标条款符合第一款情形，经相关监管部门批准后，现场可以转为其他采购方式。</w:t>
      </w:r>
    </w:p>
    <w:p>
      <w:pPr>
        <w:spacing w:line="520" w:lineRule="exact"/>
        <w:ind w:firstLine="480" w:firstLineChars="200"/>
        <w:jc w:val="left"/>
        <w:rPr>
          <w:rFonts w:ascii="宋体" w:hAnsi="宋体" w:cs="宋体"/>
          <w:color w:val="auto"/>
          <w:sz w:val="24"/>
          <w:szCs w:val="24"/>
        </w:rPr>
      </w:pPr>
      <w:r>
        <w:rPr>
          <w:rFonts w:hint="eastAsia" w:ascii="宋体" w:hAnsi="宋体" w:cs="Arial"/>
          <w:color w:val="auto"/>
          <w:sz w:val="24"/>
          <w:szCs w:val="24"/>
        </w:rPr>
        <w:t>4、重新组织谈判，采购单位将六安市城市管理局门户网站（https://cgj.luan.gov.cn/）</w:t>
      </w:r>
      <w:r>
        <w:rPr>
          <w:rFonts w:hint="eastAsia" w:ascii="宋体" w:hAnsi="宋体" w:cs="Arial"/>
          <w:color w:val="auto"/>
          <w:sz w:val="24"/>
          <w:szCs w:val="24"/>
          <w:lang w:val="en-US" w:eastAsia="zh-CN"/>
        </w:rPr>
        <w:t>发布</w:t>
      </w:r>
      <w:r>
        <w:rPr>
          <w:rFonts w:hint="eastAsia" w:ascii="宋体" w:hAnsi="宋体" w:cs="Arial"/>
          <w:color w:val="auto"/>
          <w:sz w:val="24"/>
          <w:szCs w:val="24"/>
        </w:rPr>
        <w:t>。</w:t>
      </w:r>
    </w:p>
    <w:p>
      <w:pPr>
        <w:pStyle w:val="10"/>
        <w:spacing w:before="0" w:after="0" w:line="520" w:lineRule="exact"/>
        <w:jc w:val="center"/>
        <w:rPr>
          <w:rFonts w:ascii="宋体" w:hAnsi="宋体" w:eastAsia="宋体" w:cs="宋体"/>
          <w:color w:val="auto"/>
          <w:sz w:val="24"/>
          <w:szCs w:val="24"/>
        </w:rPr>
      </w:pPr>
      <w:bookmarkStart w:id="81" w:name="_Toc19932"/>
      <w:bookmarkStart w:id="82" w:name="_Toc18914"/>
      <w:bookmarkStart w:id="83" w:name="_Toc8290"/>
      <w:bookmarkStart w:id="84" w:name="（七）报价响应及答疑"/>
      <w:r>
        <w:rPr>
          <w:rFonts w:hint="eastAsia" w:ascii="宋体" w:hAnsi="宋体" w:eastAsia="宋体" w:cs="宋体"/>
          <w:color w:val="auto"/>
          <w:sz w:val="24"/>
          <w:szCs w:val="24"/>
        </w:rPr>
        <w:t>（七）报价响应及答疑</w:t>
      </w:r>
      <w:bookmarkEnd w:id="81"/>
      <w:bookmarkEnd w:id="82"/>
      <w:bookmarkEnd w:id="83"/>
    </w:p>
    <w:bookmarkEnd w:id="84"/>
    <w:p>
      <w:pPr>
        <w:spacing w:line="520" w:lineRule="exact"/>
        <w:ind w:firstLine="480" w:firstLineChars="200"/>
        <w:rPr>
          <w:rFonts w:ascii="宋体" w:hAnsi="宋体"/>
          <w:color w:val="auto"/>
          <w:sz w:val="24"/>
          <w:szCs w:val="24"/>
        </w:rPr>
      </w:pPr>
      <w:r>
        <w:rPr>
          <w:rFonts w:hint="eastAsia" w:ascii="宋体" w:hAnsi="宋体"/>
          <w:color w:val="auto"/>
          <w:sz w:val="24"/>
          <w:szCs w:val="24"/>
        </w:rPr>
        <w:t>1、响应报价应含有所投服务各环节所发生的一切费用。响应报价为供应商在响应文件中提出的各项支付金额的总和。只有总价而没有分项报价的响应文件无效。</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2、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3、供应商如果对谈判文件的其他任何内容有相关疑问，可</w:t>
      </w:r>
      <w:r>
        <w:rPr>
          <w:rFonts w:hint="eastAsia" w:ascii="宋体" w:hAnsi="宋体"/>
          <w:color w:val="auto"/>
          <w:sz w:val="24"/>
        </w:rPr>
        <w:t>以向采购人及采购代理机构提出（疑问文件以文档形式提供，如WORD文档等）。</w:t>
      </w:r>
    </w:p>
    <w:p>
      <w:pPr>
        <w:spacing w:line="520" w:lineRule="exact"/>
        <w:ind w:firstLine="480" w:firstLineChars="200"/>
        <w:rPr>
          <w:rFonts w:ascii="宋体" w:hAnsi="宋体" w:cs="宋体"/>
          <w:color w:val="auto"/>
          <w:sz w:val="24"/>
          <w:szCs w:val="24"/>
        </w:rPr>
      </w:pPr>
      <w:r>
        <w:rPr>
          <w:rFonts w:hint="eastAsia" w:ascii="宋体" w:hAnsi="宋体"/>
          <w:color w:val="auto"/>
          <w:sz w:val="24"/>
          <w:szCs w:val="24"/>
        </w:rPr>
        <w:t>4、供应商应确保其所提供的响应资料的真实性、有效性及合法性，否则，由此引起的任何责任由其自行承担。</w:t>
      </w:r>
    </w:p>
    <w:p>
      <w:pPr>
        <w:pStyle w:val="10"/>
        <w:spacing w:before="0" w:after="0" w:line="520" w:lineRule="exact"/>
        <w:jc w:val="center"/>
        <w:rPr>
          <w:rFonts w:ascii="宋体" w:hAnsi="宋体" w:eastAsia="宋体" w:cs="宋体"/>
          <w:color w:val="auto"/>
          <w:sz w:val="24"/>
          <w:szCs w:val="24"/>
        </w:rPr>
      </w:pPr>
      <w:bookmarkStart w:id="85" w:name="_Toc8394"/>
      <w:bookmarkStart w:id="86" w:name="_Toc30358"/>
      <w:bookmarkStart w:id="87" w:name="_Toc5977"/>
      <w:r>
        <w:rPr>
          <w:rFonts w:hint="eastAsia" w:ascii="宋体" w:hAnsi="宋体" w:eastAsia="宋体" w:cs="宋体"/>
          <w:color w:val="auto"/>
          <w:sz w:val="24"/>
          <w:szCs w:val="24"/>
        </w:rPr>
        <w:t>（八）合同的签订</w:t>
      </w:r>
      <w:bookmarkEnd w:id="85"/>
      <w:bookmarkEnd w:id="86"/>
      <w:bookmarkEnd w:id="87"/>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bookmarkStart w:id="88" w:name="_Toc32291"/>
      <w:bookmarkStart w:id="89" w:name="_Toc20485"/>
      <w:bookmarkStart w:id="90" w:name="_Toc30371"/>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、因政策变化等原因不能签订合同，造成企业合法利益受损的情形，采购人可以与供应商充分协商，给予合理补偿。</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4</w:t>
      </w:r>
      <w:r>
        <w:rPr>
          <w:rFonts w:hint="eastAsia" w:ascii="宋体" w:hAnsi="宋体" w:cs="Arial"/>
          <w:sz w:val="24"/>
          <w:szCs w:val="24"/>
        </w:rPr>
        <w:t>、在签订合同时，供应商书面明确表示无需预付款或者主动要求降低预付款比例的，采购人可不适用前述（即付款方式）规定。</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5</w:t>
      </w:r>
      <w:r>
        <w:rPr>
          <w:rFonts w:hint="eastAsia" w:ascii="宋体" w:hAnsi="宋体" w:cs="Arial"/>
          <w:sz w:val="24"/>
          <w:szCs w:val="24"/>
        </w:rPr>
        <w:t>、采购文件和合同中没有约定预付款的，经供应商申请，采购人可以支付预付款。</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6</w:t>
      </w:r>
      <w:r>
        <w:rPr>
          <w:rFonts w:hint="eastAsia" w:ascii="宋体" w:hAnsi="宋体" w:cs="Arial"/>
          <w:sz w:val="24"/>
          <w:szCs w:val="24"/>
        </w:rPr>
        <w:t>、采购人可根据项目特点、供应商诚信等因素，要求供应商提交银行、保险公司、担保公司等金融机构出具的预付款保函或其他担保措施。</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7</w:t>
      </w:r>
      <w:r>
        <w:rPr>
          <w:rFonts w:hint="eastAsia" w:ascii="宋体" w:hAnsi="宋体" w:cs="Arial"/>
          <w:sz w:val="24"/>
          <w:szCs w:val="24"/>
        </w:rPr>
        <w:t>、政府采购预付款应在合同、担保措施生效以及具备实施条件后 5 个工作日内支付。</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8</w:t>
      </w:r>
      <w:r>
        <w:rPr>
          <w:rFonts w:hint="eastAsia" w:ascii="宋体" w:hAnsi="宋体" w:cs="Arial"/>
          <w:sz w:val="24"/>
          <w:szCs w:val="24"/>
        </w:rPr>
        <w:t>、延迟支付中小企业款项的，供应商可要求采购人按照合同约定支付逾期利息，合同没有约定的，按照同期人民银行 LPR支付逾期利息。</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lang w:val="en-US" w:eastAsia="zh-CN"/>
        </w:rPr>
        <w:t>9</w:t>
      </w:r>
      <w:r>
        <w:rPr>
          <w:rFonts w:hint="eastAsia" w:ascii="宋体" w:hAnsi="宋体" w:cs="Arial"/>
          <w:sz w:val="24"/>
          <w:szCs w:val="24"/>
        </w:rPr>
        <w:t>、成交供应商无正当理由不与采购人订立合同的处罚依据：</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第七十二条 供应商有下列情形之一的，依照政府采购法第七十七条第一款的规定追究法律责任：……</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（二）中标或者成交后无正当理由拒不与采购人签订政府采购合同；……</w:t>
      </w:r>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（2）《中华人民共和国政府采购法》</w:t>
      </w:r>
    </w:p>
    <w:p>
      <w:pPr>
        <w:pageBreakBefore w:val="0"/>
        <w:kinsoku/>
        <w:wordWrap/>
        <w:overflowPunct/>
        <w:topLinePunct w:val="0"/>
        <w:autoSpaceDE/>
        <w:autoSpaceDN/>
        <w:bidi w:val="0"/>
        <w:snapToGrid/>
        <w:spacing w:line="490" w:lineRule="exact"/>
        <w:ind w:firstLine="480" w:firstLineChars="200"/>
        <w:jc w:val="left"/>
      </w:pPr>
      <w:r>
        <w:rPr>
          <w:rFonts w:hint="eastAsia" w:ascii="宋体" w:hAnsi="宋体" w:cs="Arial"/>
          <w:sz w:val="24"/>
          <w:szCs w:val="24"/>
        </w:rPr>
        <w:t>第七十七条 供应商有下列情形之一的，处以采购金额千分之五以上千分之十以下的罚款，列入不</w:t>
      </w:r>
      <w:r>
        <w:rPr>
          <w:rFonts w:hint="eastAsia"/>
        </w:rPr>
        <w:t>良行为记录名单，在一至三年内禁止参加政府采购活动，有违法所得的，并处没收违法所得，情节严重的，由工商行政管理机关吊销营业执照；构成犯罪的，依法追究刑事责任：……</w:t>
      </w:r>
    </w:p>
    <w:p>
      <w:pPr>
        <w:pStyle w:val="2"/>
        <w:pageBreakBefore w:val="0"/>
        <w:kinsoku/>
        <w:wordWrap/>
        <w:overflowPunct/>
        <w:topLinePunct w:val="0"/>
        <w:autoSpaceDE/>
        <w:autoSpaceDN/>
        <w:bidi w:val="0"/>
        <w:snapToGrid/>
        <w:spacing w:after="0" w:line="490" w:lineRule="exact"/>
        <w:ind w:firstLine="480" w:firstLineChars="200"/>
      </w:pPr>
      <w:r>
        <w:rPr>
          <w:rFonts w:hint="eastAsia"/>
        </w:rPr>
        <w:t>（3）《政府采购非招标采购方式管理办法》（财政部令第74号）</w:t>
      </w:r>
    </w:p>
    <w:p>
      <w:pPr>
        <w:pStyle w:val="2"/>
        <w:pageBreakBefore w:val="0"/>
        <w:kinsoku/>
        <w:wordWrap/>
        <w:overflowPunct/>
        <w:topLinePunct w:val="0"/>
        <w:autoSpaceDE/>
        <w:autoSpaceDN/>
        <w:bidi w:val="0"/>
        <w:snapToGrid/>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pPr>
        <w:pStyle w:val="2"/>
        <w:pageBreakBefore w:val="0"/>
        <w:kinsoku/>
        <w:wordWrap/>
        <w:overflowPunct/>
        <w:topLinePunct w:val="0"/>
        <w:autoSpaceDE/>
        <w:autoSpaceDN/>
        <w:bidi w:val="0"/>
        <w:snapToGrid/>
        <w:spacing w:after="0" w:line="490" w:lineRule="exact"/>
        <w:ind w:firstLine="480" w:firstLineChars="200"/>
        <w:rPr>
          <w:rFonts w:ascii="宋体" w:hAnsi="宋体" w:cs="宋体"/>
          <w:szCs w:val="24"/>
        </w:rPr>
      </w:pPr>
      <w:r>
        <w:rPr>
          <w:rFonts w:hint="eastAsia"/>
        </w:rPr>
        <w:t>（二）成交后无正当理由不与采购人签订合同的；……</w:t>
      </w:r>
    </w:p>
    <w:p>
      <w:pPr>
        <w:pStyle w:val="10"/>
        <w:spacing w:before="0" w:after="0" w:line="520" w:lineRule="exact"/>
        <w:jc w:val="center"/>
        <w:rPr>
          <w:rFonts w:ascii="宋体" w:hAnsi="宋体" w:eastAsia="宋体" w:cs="宋体"/>
          <w:color w:val="auto"/>
          <w:sz w:val="24"/>
          <w:szCs w:val="24"/>
        </w:rPr>
      </w:pPr>
      <w:r>
        <w:rPr>
          <w:rFonts w:hint="eastAsia" w:ascii="宋体" w:hAnsi="宋体" w:eastAsia="宋体" w:cs="宋体"/>
          <w:color w:val="auto"/>
          <w:sz w:val="24"/>
          <w:szCs w:val="24"/>
        </w:rPr>
        <w:t>（九）澄清及变更</w:t>
      </w:r>
      <w:bookmarkEnd w:id="88"/>
      <w:bookmarkEnd w:id="89"/>
      <w:bookmarkEnd w:id="90"/>
    </w:p>
    <w:p>
      <w:pPr>
        <w:spacing w:line="520" w:lineRule="exact"/>
        <w:ind w:firstLine="480" w:firstLineChars="200"/>
        <w:rPr>
          <w:color w:val="auto"/>
        </w:rPr>
      </w:pPr>
      <w:r>
        <w:rPr>
          <w:rFonts w:hint="eastAsia" w:ascii="宋体" w:hAnsi="宋体"/>
          <w:color w:val="auto"/>
          <w:sz w:val="24"/>
          <w:szCs w:val="24"/>
        </w:rPr>
        <w:t>谈判文件如有澄清及变更，将以线下纸质形式发送，请供应商及时查收。</w:t>
      </w:r>
    </w:p>
    <w:p>
      <w:pPr>
        <w:pStyle w:val="10"/>
        <w:spacing w:before="0" w:after="0" w:line="520" w:lineRule="exact"/>
        <w:jc w:val="center"/>
        <w:rPr>
          <w:rFonts w:ascii="宋体" w:hAnsi="宋体" w:eastAsia="宋体" w:cs="宋体"/>
          <w:color w:val="auto"/>
          <w:sz w:val="24"/>
          <w:szCs w:val="24"/>
        </w:rPr>
      </w:pPr>
      <w:bookmarkStart w:id="91" w:name="_Toc27142"/>
      <w:bookmarkStart w:id="92" w:name="_Toc14936"/>
      <w:bookmarkStart w:id="93" w:name="_Toc2678"/>
      <w:r>
        <w:rPr>
          <w:rFonts w:hint="eastAsia" w:ascii="宋体" w:hAnsi="宋体" w:eastAsia="宋体" w:cs="宋体"/>
          <w:color w:val="auto"/>
          <w:sz w:val="24"/>
          <w:szCs w:val="24"/>
        </w:rPr>
        <w:t>（十）验收</w:t>
      </w:r>
      <w:bookmarkEnd w:id="91"/>
      <w:bookmarkEnd w:id="92"/>
      <w:bookmarkEnd w:id="93"/>
    </w:p>
    <w:p>
      <w:pPr>
        <w:spacing w:line="520" w:lineRule="exact"/>
        <w:ind w:firstLine="480" w:firstLineChars="200"/>
        <w:rPr>
          <w:rFonts w:ascii="宋体" w:hAnsi="宋体"/>
          <w:color w:val="auto"/>
          <w:sz w:val="24"/>
          <w:szCs w:val="24"/>
        </w:rPr>
      </w:pPr>
      <w:r>
        <w:rPr>
          <w:rFonts w:hint="eastAsia" w:ascii="宋体" w:hAnsi="宋体"/>
          <w:color w:val="auto"/>
          <w:sz w:val="24"/>
          <w:szCs w:val="24"/>
        </w:rPr>
        <w:t>1、采购人应当在项目完成且收到供应商验收申请后 5 个工作日内组织开展履约验收。</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spacing w:line="520" w:lineRule="exact"/>
        <w:ind w:firstLine="480" w:firstLineChars="200"/>
        <w:rPr>
          <w:rFonts w:ascii="宋体" w:hAnsi="宋体" w:cs="宋体"/>
          <w:color w:val="auto"/>
          <w:sz w:val="24"/>
          <w:szCs w:val="24"/>
        </w:rPr>
      </w:pPr>
      <w:r>
        <w:rPr>
          <w:rFonts w:hint="eastAsia" w:ascii="宋体" w:hAnsi="宋体"/>
          <w:color w:val="auto"/>
          <w:sz w:val="24"/>
          <w:szCs w:val="24"/>
        </w:rPr>
        <w:t>3、涉及安全、消防、环保等其他需要由质检或行业主管部门进行验收的项目，必须邀请相关部门或相关专家参与验收。</w:t>
      </w:r>
    </w:p>
    <w:p>
      <w:pPr>
        <w:pStyle w:val="10"/>
        <w:spacing w:before="0" w:after="0" w:line="520" w:lineRule="exact"/>
        <w:jc w:val="center"/>
        <w:rPr>
          <w:rFonts w:ascii="宋体" w:hAnsi="宋体" w:eastAsia="宋体" w:cs="宋体"/>
          <w:color w:val="auto"/>
          <w:sz w:val="24"/>
          <w:szCs w:val="24"/>
        </w:rPr>
      </w:pPr>
      <w:bookmarkStart w:id="94" w:name="_Toc24748"/>
      <w:bookmarkStart w:id="95" w:name="_Toc14797"/>
      <w:bookmarkStart w:id="96" w:name="_Toc17435"/>
      <w:r>
        <w:rPr>
          <w:rFonts w:hint="eastAsia" w:ascii="宋体" w:hAnsi="宋体" w:eastAsia="宋体" w:cs="宋体"/>
          <w:color w:val="auto"/>
          <w:sz w:val="24"/>
          <w:szCs w:val="24"/>
        </w:rPr>
        <w:t>（十一）质疑</w:t>
      </w:r>
      <w:bookmarkEnd w:id="94"/>
      <w:bookmarkEnd w:id="95"/>
      <w:bookmarkEnd w:id="96"/>
    </w:p>
    <w:p>
      <w:pPr>
        <w:spacing w:line="520" w:lineRule="exact"/>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1、质疑人认为中标结果使自己的权益受到损害的，可以向采购人及采购代理机构提出质疑。质疑实行实名制，应当有具体的事项及根据，不得进行虚假、恶意质疑，扰乱采购活动的正常工作秩序。</w:t>
      </w:r>
    </w:p>
    <w:p>
      <w:pPr>
        <w:spacing w:line="520" w:lineRule="exact"/>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pPr>
        <w:spacing w:line="520" w:lineRule="exact"/>
        <w:ind w:firstLine="480" w:firstLineChars="200"/>
        <w:rPr>
          <w:rFonts w:ascii="宋体" w:hAnsi="宋体"/>
          <w:bCs/>
          <w:color w:val="auto"/>
          <w:sz w:val="24"/>
        </w:rPr>
      </w:pPr>
      <w:r>
        <w:rPr>
          <w:rFonts w:hint="eastAsia" w:ascii="宋体" w:hAnsi="宋体"/>
          <w:bCs/>
          <w:color w:val="auto"/>
          <w:sz w:val="24"/>
        </w:rPr>
        <w:t>对政府采购中标结果的质疑，应在中标结果公布之日起七个工作日内提出。</w:t>
      </w:r>
    </w:p>
    <w:p>
      <w:pPr>
        <w:spacing w:line="520" w:lineRule="exact"/>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pPr>
        <w:widowControl/>
        <w:spacing w:line="520" w:lineRule="exact"/>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pPr>
        <w:widowControl/>
        <w:spacing w:line="520" w:lineRule="exact"/>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pPr>
        <w:widowControl/>
        <w:spacing w:line="520" w:lineRule="exact"/>
        <w:ind w:firstLine="480" w:firstLineChars="200"/>
        <w:jc w:val="left"/>
        <w:rPr>
          <w:rFonts w:ascii="宋体" w:hAnsi="宋体"/>
          <w:bCs/>
          <w:color w:val="auto"/>
          <w:sz w:val="24"/>
        </w:rPr>
      </w:pPr>
      <w:r>
        <w:rPr>
          <w:rFonts w:hint="eastAsia" w:ascii="宋体" w:hAnsi="宋体"/>
          <w:bCs/>
          <w:color w:val="auto"/>
          <w:sz w:val="24"/>
        </w:rPr>
        <w:t>3.3被质疑人名称；</w:t>
      </w:r>
    </w:p>
    <w:p>
      <w:pPr>
        <w:widowControl/>
        <w:spacing w:line="520" w:lineRule="exact"/>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pPr>
        <w:widowControl/>
        <w:spacing w:line="520" w:lineRule="exact"/>
        <w:ind w:firstLine="480" w:firstLineChars="200"/>
        <w:jc w:val="left"/>
        <w:rPr>
          <w:rFonts w:ascii="宋体" w:hAnsi="宋体"/>
          <w:bCs/>
          <w:color w:val="auto"/>
          <w:sz w:val="24"/>
        </w:rPr>
      </w:pPr>
      <w:r>
        <w:rPr>
          <w:rFonts w:hint="eastAsia" w:ascii="宋体" w:hAnsi="宋体"/>
          <w:bCs/>
          <w:color w:val="auto"/>
          <w:sz w:val="24"/>
        </w:rPr>
        <w:t>3.5明确的请求及主张；</w:t>
      </w:r>
    </w:p>
    <w:p>
      <w:pPr>
        <w:widowControl/>
        <w:spacing w:line="520" w:lineRule="exact"/>
        <w:ind w:firstLine="480" w:firstLineChars="200"/>
        <w:jc w:val="left"/>
        <w:rPr>
          <w:rFonts w:ascii="宋体" w:hAnsi="宋体"/>
          <w:bCs/>
          <w:color w:val="auto"/>
          <w:sz w:val="24"/>
        </w:rPr>
      </w:pPr>
      <w:r>
        <w:rPr>
          <w:rFonts w:hint="eastAsia" w:ascii="宋体" w:hAnsi="宋体"/>
          <w:bCs/>
          <w:color w:val="auto"/>
          <w:sz w:val="24"/>
        </w:rPr>
        <w:t>3.6提起质疑的日期。</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pPr>
        <w:spacing w:line="520" w:lineRule="exact"/>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pPr>
        <w:widowControl/>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4.5对其他投标供应商的投标文件详细内容质疑，无法提供合法来源渠道的；</w:t>
      </w:r>
    </w:p>
    <w:p>
      <w:pPr>
        <w:widowControl/>
        <w:spacing w:line="520" w:lineRule="exact"/>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pPr>
        <w:spacing w:line="520" w:lineRule="exact"/>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5、经审查符合质疑条件的，自收到质疑之日起即为受理。采购人及采购代理机构将在质疑受理后7个工作日内作出答复或相关处理决定，并以书面形式通知质疑人，答复的内容不得涉及商业秘密。</w:t>
      </w:r>
    </w:p>
    <w:p>
      <w:pPr>
        <w:spacing w:line="520" w:lineRule="exact"/>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pPr>
        <w:spacing w:line="520" w:lineRule="exact"/>
        <w:ind w:firstLine="480" w:firstLineChars="200"/>
        <w:rPr>
          <w:rFonts w:ascii="宋体" w:hAnsi="宋体"/>
          <w:bCs/>
          <w:color w:val="auto"/>
          <w:sz w:val="24"/>
        </w:rPr>
      </w:pPr>
      <w:r>
        <w:rPr>
          <w:rFonts w:hint="eastAsia" w:ascii="宋体" w:hAnsi="宋体"/>
          <w:bCs/>
          <w:color w:val="auto"/>
          <w:sz w:val="24"/>
        </w:rPr>
        <w:t>质疑人对质疑答复不满意或采购人及采购代理机构未在规定时间内做出答复的，可以在规定期限内向相关部门提起投诉。</w:t>
      </w:r>
    </w:p>
    <w:p>
      <w:pPr>
        <w:spacing w:line="520" w:lineRule="exact"/>
        <w:ind w:firstLine="480" w:firstLineChars="200"/>
        <w:rPr>
          <w:rFonts w:ascii="宋体" w:hAnsi="宋体"/>
          <w:bCs/>
          <w:color w:val="auto"/>
          <w:sz w:val="24"/>
        </w:rPr>
      </w:pPr>
      <w:r>
        <w:rPr>
          <w:rFonts w:hint="eastAsia" w:ascii="宋体" w:hAnsi="宋体"/>
          <w:bCs/>
          <w:color w:val="auto"/>
          <w:sz w:val="24"/>
        </w:rPr>
        <w:t>质疑人应在答复期满后十五个工作日内提起投诉。</w:t>
      </w:r>
    </w:p>
    <w:p>
      <w:pPr>
        <w:spacing w:line="520" w:lineRule="exact"/>
        <w:ind w:firstLine="480" w:firstLineChars="200"/>
        <w:rPr>
          <w:rFonts w:ascii="宋体" w:hAnsi="宋体"/>
          <w:bCs/>
          <w:color w:val="auto"/>
          <w:sz w:val="24"/>
        </w:rPr>
      </w:pPr>
      <w:r>
        <w:rPr>
          <w:rFonts w:hint="eastAsia" w:ascii="宋体" w:hAnsi="宋体"/>
          <w:bCs/>
          <w:color w:val="auto"/>
          <w:sz w:val="24"/>
        </w:rPr>
        <w:t>7、质疑人有下列情形之一的，属于虚假、恶意质疑，将报相关部门予以处理。</w:t>
      </w:r>
    </w:p>
    <w:p>
      <w:pPr>
        <w:spacing w:line="520" w:lineRule="exact"/>
        <w:ind w:firstLine="480" w:firstLineChars="200"/>
        <w:rPr>
          <w:rFonts w:ascii="宋体" w:hAnsi="宋体"/>
          <w:bCs/>
          <w:color w:val="auto"/>
          <w:sz w:val="24"/>
        </w:rPr>
      </w:pPr>
      <w:r>
        <w:rPr>
          <w:rFonts w:hint="eastAsia" w:ascii="宋体" w:hAnsi="宋体"/>
          <w:bCs/>
          <w:color w:val="auto"/>
          <w:sz w:val="24"/>
        </w:rPr>
        <w:t>7.1一年内三次以上质疑均查无实据的；</w:t>
      </w:r>
    </w:p>
    <w:p>
      <w:pPr>
        <w:spacing w:line="520" w:lineRule="exact"/>
        <w:ind w:firstLine="480" w:firstLineChars="200"/>
        <w:rPr>
          <w:color w:val="auto"/>
        </w:rPr>
      </w:pPr>
      <w:r>
        <w:rPr>
          <w:rFonts w:hint="eastAsia" w:ascii="宋体" w:hAnsi="宋体"/>
          <w:bCs/>
          <w:color w:val="auto"/>
          <w:sz w:val="24"/>
        </w:rPr>
        <w:t>7.2捏造事实恶意诬陷他人、有意提供虚假质疑材料的或者通过非法手段获取材料的。</w:t>
      </w:r>
    </w:p>
    <w:p>
      <w:pPr>
        <w:pStyle w:val="10"/>
        <w:spacing w:before="0" w:after="0" w:line="560" w:lineRule="exact"/>
        <w:jc w:val="center"/>
        <w:rPr>
          <w:rFonts w:ascii="宋体" w:hAnsi="宋体" w:eastAsia="宋体" w:cs="宋体"/>
          <w:color w:val="auto"/>
          <w:sz w:val="28"/>
          <w:szCs w:val="28"/>
        </w:rPr>
      </w:pPr>
    </w:p>
    <w:p>
      <w:pPr>
        <w:pStyle w:val="10"/>
        <w:spacing w:before="0" w:after="0" w:line="560" w:lineRule="exact"/>
        <w:jc w:val="center"/>
        <w:rPr>
          <w:rFonts w:ascii="宋体" w:hAnsi="宋体" w:eastAsia="宋体" w:cs="宋体"/>
          <w:color w:val="auto"/>
          <w:sz w:val="28"/>
          <w:szCs w:val="28"/>
        </w:rPr>
      </w:pPr>
    </w:p>
    <w:p>
      <w:pPr>
        <w:rPr>
          <w:rFonts w:ascii="宋体" w:hAnsi="宋体" w:eastAsia="宋体" w:cs="宋体"/>
          <w:color w:val="auto"/>
          <w:sz w:val="28"/>
          <w:szCs w:val="28"/>
        </w:rPr>
      </w:pPr>
    </w:p>
    <w:p>
      <w:pPr>
        <w:pStyle w:val="2"/>
        <w:rPr>
          <w:rFonts w:ascii="宋体" w:hAnsi="宋体" w:eastAsia="宋体" w:cs="宋体"/>
          <w:color w:val="auto"/>
          <w:sz w:val="28"/>
          <w:szCs w:val="28"/>
        </w:rPr>
      </w:pPr>
    </w:p>
    <w:p>
      <w:pPr>
        <w:pStyle w:val="5"/>
        <w:rPr>
          <w:rFonts w:ascii="宋体" w:hAnsi="宋体" w:eastAsia="宋体" w:cs="宋体"/>
          <w:color w:val="auto"/>
          <w:sz w:val="28"/>
          <w:szCs w:val="28"/>
        </w:rPr>
      </w:pPr>
    </w:p>
    <w:p>
      <w:pPr>
        <w:rPr>
          <w:rFonts w:ascii="宋体" w:hAnsi="宋体" w:eastAsia="宋体" w:cs="宋体"/>
          <w:color w:val="auto"/>
          <w:sz w:val="28"/>
          <w:szCs w:val="28"/>
        </w:rPr>
      </w:pPr>
    </w:p>
    <w:p>
      <w:pPr>
        <w:pStyle w:val="2"/>
        <w:rPr>
          <w:rFonts w:ascii="宋体" w:hAnsi="宋体" w:eastAsia="宋体" w:cs="宋体"/>
          <w:color w:val="auto"/>
          <w:sz w:val="28"/>
          <w:szCs w:val="28"/>
        </w:rPr>
      </w:pPr>
    </w:p>
    <w:p>
      <w:pPr>
        <w:pStyle w:val="5"/>
        <w:rPr>
          <w:rFonts w:ascii="宋体" w:hAnsi="宋体" w:eastAsia="宋体" w:cs="宋体"/>
          <w:color w:val="auto"/>
          <w:sz w:val="28"/>
          <w:szCs w:val="28"/>
        </w:rPr>
      </w:pPr>
    </w:p>
    <w:p>
      <w:pPr>
        <w:rPr>
          <w:rFonts w:ascii="宋体" w:hAnsi="宋体" w:eastAsia="宋体" w:cs="宋体"/>
          <w:color w:val="auto"/>
          <w:sz w:val="28"/>
          <w:szCs w:val="28"/>
        </w:rPr>
      </w:pPr>
    </w:p>
    <w:p>
      <w:pPr>
        <w:pStyle w:val="2"/>
        <w:rPr>
          <w:rFonts w:ascii="宋体" w:hAnsi="宋体" w:eastAsia="宋体" w:cs="宋体"/>
          <w:color w:val="auto"/>
          <w:sz w:val="28"/>
          <w:szCs w:val="28"/>
        </w:rPr>
      </w:pPr>
    </w:p>
    <w:p>
      <w:pPr>
        <w:pStyle w:val="5"/>
        <w:rPr>
          <w:rFonts w:ascii="宋体" w:hAnsi="宋体" w:eastAsia="宋体" w:cs="宋体"/>
          <w:color w:val="auto"/>
          <w:sz w:val="28"/>
          <w:szCs w:val="28"/>
        </w:rPr>
      </w:pPr>
    </w:p>
    <w:p>
      <w:pPr>
        <w:rPr>
          <w:rFonts w:ascii="宋体" w:hAnsi="宋体" w:eastAsia="宋体" w:cs="宋体"/>
          <w:color w:val="auto"/>
          <w:sz w:val="28"/>
          <w:szCs w:val="28"/>
        </w:rPr>
      </w:pPr>
    </w:p>
    <w:p>
      <w:pPr>
        <w:pStyle w:val="2"/>
        <w:rPr>
          <w:rFonts w:ascii="宋体" w:hAnsi="宋体" w:eastAsia="宋体" w:cs="宋体"/>
          <w:color w:val="auto"/>
          <w:sz w:val="28"/>
          <w:szCs w:val="28"/>
        </w:rPr>
      </w:pPr>
    </w:p>
    <w:p>
      <w:pPr>
        <w:pStyle w:val="5"/>
        <w:rPr>
          <w:rFonts w:ascii="宋体" w:hAnsi="宋体" w:eastAsia="宋体" w:cs="宋体"/>
          <w:color w:val="auto"/>
          <w:sz w:val="28"/>
          <w:szCs w:val="28"/>
        </w:rPr>
      </w:pPr>
    </w:p>
    <w:p>
      <w:pPr>
        <w:rPr>
          <w:rFonts w:ascii="宋体" w:hAnsi="宋体" w:eastAsia="宋体" w:cs="宋体"/>
          <w:color w:val="auto"/>
          <w:sz w:val="28"/>
          <w:szCs w:val="28"/>
        </w:rPr>
      </w:pPr>
    </w:p>
    <w:p>
      <w:pPr>
        <w:pStyle w:val="2"/>
        <w:rPr>
          <w:rFonts w:ascii="宋体" w:hAnsi="宋体" w:eastAsia="宋体" w:cs="宋体"/>
          <w:color w:val="auto"/>
          <w:sz w:val="28"/>
          <w:szCs w:val="28"/>
        </w:rPr>
      </w:pPr>
    </w:p>
    <w:p>
      <w:pPr>
        <w:pStyle w:val="5"/>
        <w:rPr>
          <w:rFonts w:ascii="宋体" w:hAnsi="宋体" w:eastAsia="宋体" w:cs="宋体"/>
          <w:color w:val="auto"/>
          <w:sz w:val="28"/>
          <w:szCs w:val="28"/>
        </w:rPr>
      </w:pPr>
    </w:p>
    <w:p/>
    <w:p>
      <w:pPr>
        <w:pStyle w:val="10"/>
        <w:spacing w:before="0" w:after="0" w:line="560" w:lineRule="exact"/>
        <w:jc w:val="center"/>
        <w:rPr>
          <w:rFonts w:ascii="宋体" w:hAnsi="宋体" w:eastAsia="宋体" w:cs="宋体"/>
          <w:color w:val="auto"/>
          <w:sz w:val="28"/>
          <w:szCs w:val="28"/>
        </w:rPr>
      </w:pPr>
    </w:p>
    <w:p>
      <w:pPr>
        <w:pStyle w:val="10"/>
        <w:spacing w:before="0" w:after="0" w:line="560" w:lineRule="exact"/>
        <w:jc w:val="center"/>
        <w:rPr>
          <w:rFonts w:ascii="宋体" w:hAnsi="宋体" w:eastAsia="宋体" w:cs="宋体"/>
          <w:color w:val="auto"/>
          <w:sz w:val="28"/>
          <w:szCs w:val="28"/>
        </w:rPr>
      </w:pPr>
      <w:bookmarkStart w:id="97" w:name="_Toc22848"/>
      <w:r>
        <w:rPr>
          <w:rFonts w:hint="eastAsia" w:ascii="宋体" w:hAnsi="宋体" w:eastAsia="宋体" w:cs="宋体"/>
          <w:color w:val="auto"/>
          <w:sz w:val="28"/>
          <w:szCs w:val="28"/>
        </w:rPr>
        <w:t>二、采购合同</w:t>
      </w:r>
      <w:bookmarkEnd w:id="97"/>
    </w:p>
    <w:bookmarkEnd w:id="54"/>
    <w:p>
      <w:pPr>
        <w:jc w:val="center"/>
        <w:rPr>
          <w:color w:val="auto"/>
          <w:sz w:val="24"/>
          <w:szCs w:val="24"/>
        </w:rPr>
      </w:pPr>
      <w:bookmarkStart w:id="98" w:name="_Toc363199273"/>
    </w:p>
    <w:p>
      <w:pPr>
        <w:jc w:val="center"/>
        <w:rPr>
          <w:color w:val="auto"/>
          <w:sz w:val="28"/>
          <w:szCs w:val="28"/>
        </w:rPr>
      </w:pPr>
      <w:r>
        <w:rPr>
          <w:rFonts w:hint="eastAsia"/>
          <w:color w:val="auto"/>
          <w:sz w:val="28"/>
          <w:szCs w:val="28"/>
        </w:rPr>
        <w:t>（甲乙双方自行拟定）</w:t>
      </w:r>
      <w:r>
        <w:rPr>
          <w:rFonts w:hint="eastAsia"/>
          <w:color w:val="auto"/>
          <w:sz w:val="28"/>
          <w:szCs w:val="28"/>
        </w:rPr>
        <w:br w:type="page"/>
      </w:r>
    </w:p>
    <w:p>
      <w:pPr>
        <w:pStyle w:val="10"/>
        <w:numPr>
          <w:ilvl w:val="0"/>
          <w:numId w:val="2"/>
        </w:numPr>
        <w:spacing w:before="0" w:after="0" w:line="560" w:lineRule="exact"/>
        <w:jc w:val="center"/>
        <w:rPr>
          <w:rFonts w:ascii="宋体" w:hAnsi="宋体" w:eastAsia="宋体" w:cs="宋体"/>
          <w:color w:val="auto"/>
          <w:sz w:val="28"/>
          <w:szCs w:val="28"/>
        </w:rPr>
      </w:pPr>
      <w:bookmarkStart w:id="99" w:name="_Toc31174"/>
      <w:r>
        <w:rPr>
          <w:rFonts w:hint="eastAsia" w:ascii="宋体" w:hAnsi="宋体" w:eastAsia="宋体" w:cs="宋体"/>
          <w:color w:val="auto"/>
          <w:sz w:val="28"/>
          <w:szCs w:val="28"/>
        </w:rPr>
        <w:t>采购需求</w:t>
      </w:r>
      <w:bookmarkEnd w:id="99"/>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项目概况：</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2025年度口袋公园建设项目，项目地点位于二水厂以东、紫荆路以西、振兴佳园小区旁、光华厂巷以北及落水桥巷以北，共5个地块。项目主要建设内容为改造龙泉、紫荆、西苑、佳苑、光华等五个地块，新建透水铺装7452平方米、下沉式绿地4718平方米，配套建设照明、坐凳、健身、儿童游憩等附属设施。</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北郊支渠游园海绵化改造项目，项目地点位于周集路以南、梅山北路以东、姚李路以北、九里沟路以西。项目主要建设内容为新建生态停车场 937 平方米、透水步道6759 平方米、下沉式绿地 4731 平方米、绿化缓冲带11294平方米，配套建设照明、坐凳、健身、儿童游憩等附属设施。</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锅底山区域海绵化改造工程，项目地点位于佛子岭路与八公山路交叉口西北角。项目主要建设内容为新建透水铺装 5860 平方米、雨水花园 209 平方米、旱溪 858 平方米、水塘驳岸 470 米、植草沟1030 米，配套建设水系自净系统、休息坐凳、照明等附属设施。</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龙河公园海绵化改造工程，项目地点位于裕安区龙河西路以南、嵩寮岩路以东、闻堰路以北、龙井沟路以西。项目主要建设内容为新建透水铺装 5781 平方米、转输型植草沟 1959 米、雨水花园 2917 平方米、下凹式绿地 3501 平方米，改造透水铺装 10115 平方米，配套建设休息坐凳、照明等附属设施。</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上述项目总投资约2420万元，具体项目涉及内容及范围可查阅施工图纸及工程量清单。本次招标服务内容为上述项目的全过程工程质量检测服务。</w:t>
      </w:r>
    </w:p>
    <w:p>
      <w:pPr>
        <w:spacing w:line="360" w:lineRule="auto"/>
        <w:rPr>
          <w:rFonts w:hint="eastAsia" w:ascii="仿宋" w:hAnsi="仿宋" w:eastAsia="仿宋" w:cs="仿宋"/>
          <w:color w:val="auto"/>
          <w:sz w:val="28"/>
          <w:szCs w:val="28"/>
          <w:lang w:val="en-US" w:eastAsia="zh-CN"/>
        </w:rPr>
      </w:pPr>
      <w:bookmarkStart w:id="100" w:name="_Toc5000"/>
      <w:bookmarkStart w:id="101" w:name="_Toc17862"/>
      <w:bookmarkStart w:id="102" w:name="_Toc27329"/>
      <w:r>
        <w:rPr>
          <w:rFonts w:hint="eastAsia" w:ascii="仿宋" w:hAnsi="仿宋" w:eastAsia="仿宋" w:cs="仿宋"/>
          <w:color w:val="auto"/>
          <w:sz w:val="28"/>
          <w:szCs w:val="28"/>
          <w:lang w:val="en-US" w:eastAsia="zh-CN"/>
        </w:rPr>
        <w:t>二、服务内容</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次发包的检测服务范围包括但不限于：检测方案编制（含标价的检测清单，并经建设单位组织的专家审查通过后予以实施）、质量巡检、抽检、合同完工质量检测，工程实体质量检测和外观质量量测、见证取样检测等。包括：①对原材料、半成品抽检及标准试验验证等；②在施工过程中及完工后对工程施工相应环节的实体质量进行检测；③配合建设单位质量巡查：包括施工工艺、内业资料检查和外业实体巡查等。并提供上述检测工作相应的成果资料。</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检测单位依据设计施工图纸、国家有关法律、法规、工程建设施工规范、强制性条文、检验评审标准及相关工程检测规范，符合本项目工程所在地行政主管部门相关规定，对本项目发包范围内的工程进行过程检测。检测单位要按规范及建设单位要求的内容和频率进行检测，对关键抽检项目进行复测，平行验证试验，对工程外观进行检查、记录，对监理、施工单位试验检测内业资料进行审查，完成相应检测、审查报告，参加建设单位组织的质量检查和综合督查。实际检测频率、检测项目必须满足项目竣工验收质量评审（包含但不限于《建设工程质量检测管理办法》（2022年12月29日中华人民共和国住房和城乡建设部令第57号）、《给水排水管道工程施工及验收规范》（GB 50268-2008）等国家要求的规范、结果）要求并出具质量评定报告。具体检测内容与检测数量必须符合相关标准规范等要求的检测项目、内容、次数、频率及检测方法等进行检测和质量评定，并对试验检测结果负责；</w:t>
      </w:r>
    </w:p>
    <w:p>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最终结算价款按∑（实际检测内容×实际检测数量×检测单价）计算，小于合同价的按实际结算，大于合同价的按合同价结算。供应商报价包含完成国家规范要求的检测服务内容过程中所有费用，不得漏测或降低测量频率。</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三、其他说明</w:t>
      </w:r>
    </w:p>
    <w:p>
      <w:pPr>
        <w:pStyle w:val="2"/>
        <w:rPr>
          <w:rFonts w:hint="default"/>
          <w:lang w:val="en-US" w:eastAsia="zh-CN"/>
        </w:rPr>
      </w:pPr>
      <w:r>
        <w:rPr>
          <w:rFonts w:hint="eastAsia" w:ascii="仿宋" w:hAnsi="仿宋" w:eastAsia="仿宋" w:cs="仿宋"/>
          <w:color w:val="auto"/>
          <w:sz w:val="28"/>
          <w:szCs w:val="28"/>
          <w:lang w:val="en-US" w:eastAsia="zh-CN"/>
        </w:rPr>
        <w:t>本项目涉及的图纸、工程量清单等内容可在六安市公共资源交易中心网站自行下载查看（网址：https://ggzy.luan.gov.cn/），供应商自行考虑项目特点特征进行报价。</w:t>
      </w:r>
    </w:p>
    <w:p>
      <w:pPr>
        <w:spacing w:line="360" w:lineRule="auto"/>
        <w:ind w:firstLine="560" w:firstLineChars="200"/>
        <w:rPr>
          <w:rFonts w:hint="default" w:ascii="仿宋" w:hAnsi="仿宋" w:eastAsia="仿宋" w:cs="仿宋"/>
          <w:sz w:val="28"/>
          <w:szCs w:val="28"/>
          <w:highlight w:val="none"/>
          <w:shd w:val="clear" w:color="auto" w:fill="FFFFFF"/>
          <w:lang w:val="en-US" w:eastAsia="zh-CN" w:bidi="ar"/>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pStyle w:val="10"/>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100"/>
      <w:bookmarkEnd w:id="101"/>
      <w:bookmarkEnd w:id="102"/>
    </w:p>
    <w:p>
      <w:pPr>
        <w:keepNext w:val="0"/>
        <w:keepLines w:val="0"/>
        <w:pageBreakBefore w:val="0"/>
        <w:widowControl w:val="0"/>
        <w:kinsoku/>
        <w:overflowPunct/>
        <w:topLinePunct w:val="0"/>
        <w:autoSpaceDE/>
        <w:autoSpaceDN/>
        <w:bidi w:val="0"/>
        <w:adjustRightInd/>
        <w:snapToGrid/>
        <w:spacing w:line="500" w:lineRule="exact"/>
        <w:ind w:left="0" w:firstLine="473" w:firstLineChars="200"/>
        <w:textAlignment w:val="auto"/>
        <w:outlineLvl w:val="0"/>
        <w:rPr>
          <w:rFonts w:hint="eastAsia" w:ascii="宋体" w:hAnsi="宋体" w:eastAsia="宋体" w:cs="宋体"/>
          <w:b/>
          <w:bCs/>
          <w:spacing w:val="-2"/>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i w:val="0"/>
          <w:iCs w:val="0"/>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采购人或代理机构对供应商的资格进行审查，审查响应文件是否响应了谈判文件的资格要求。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tbl>
      <w:tblPr>
        <w:tblStyle w:val="109"/>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8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rPr>
              <w:t>审查内容</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文件中无需提供证明材料，由采购人或者采购代理机构查询供应商的信用记录，信用记录以投标截止时间的记录信息为准。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3.信用信息记录方式：采购人或采购代理机构工作人员将查询网页截图随其他采购资料一同存档备查。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4.在上述规定的查询时间之外，网站信息发生的任何变更均不作为资格审查依据。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r>
              <w:rPr>
                <w:rFonts w:hint="eastAsia" w:ascii="宋体" w:hAnsi="宋体" w:eastAsia="宋体" w:cs="宋体"/>
                <w:sz w:val="24"/>
                <w:szCs w:val="24"/>
                <w:lang w:eastAsia="zh-CN"/>
              </w:rPr>
              <w:t>。</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1" w:firstLineChars="200"/>
        <w:jc w:val="both"/>
        <w:textAlignment w:val="auto"/>
        <w:outlineLvl w:val="9"/>
        <w:rPr>
          <w:rFonts w:hint="eastAsia" w:ascii="宋体" w:hAnsi="宋体" w:eastAsia="宋体" w:cs="宋体"/>
          <w:b/>
          <w:bCs/>
          <w:spacing w:val="0"/>
          <w:w w:val="100"/>
          <w:position w:val="0"/>
          <w:sz w:val="24"/>
          <w:szCs w:val="24"/>
          <w:u w:val="none"/>
          <w:lang w:val="en-US" w:eastAsia="zh-CN"/>
        </w:rPr>
      </w:pPr>
      <w:r>
        <w:rPr>
          <w:rFonts w:hint="eastAsia" w:ascii="宋体" w:hAnsi="宋体" w:eastAsia="宋体" w:cs="宋体"/>
          <w:b/>
          <w:bCs/>
          <w:spacing w:val="0"/>
          <w:w w:val="100"/>
          <w:position w:val="0"/>
          <w:sz w:val="24"/>
          <w:szCs w:val="24"/>
          <w:u w:val="none"/>
          <w:lang w:val="en-US" w:eastAsia="zh-CN"/>
        </w:rPr>
        <w:t>2、综合评审</w:t>
      </w:r>
    </w:p>
    <w:p>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由谈判小组对响应文件进行评审，并根据谈判文件规定的程序、评定成交的标准等事项与实质性响应谈判文件要求的供应商进行谈判。</w:t>
      </w:r>
    </w:p>
    <w:p>
      <w:pPr>
        <w:pStyle w:val="13"/>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pStyle w:val="10"/>
        <w:spacing w:before="0" w:after="0" w:line="560" w:lineRule="exact"/>
        <w:jc w:val="center"/>
        <w:rPr>
          <w:rFonts w:ascii="宋体" w:hAnsi="宋体" w:eastAsia="宋体" w:cs="宋体"/>
          <w:color w:val="auto"/>
          <w:sz w:val="28"/>
          <w:szCs w:val="28"/>
        </w:rPr>
      </w:pPr>
      <w:bookmarkStart w:id="103" w:name="_Toc12479"/>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、响应文件格式</w:t>
      </w:r>
      <w:bookmarkEnd w:id="103"/>
    </w:p>
    <w:p>
      <w:pPr>
        <w:spacing w:line="500" w:lineRule="exact"/>
        <w:jc w:val="center"/>
        <w:rPr>
          <w:rFonts w:ascii="宋体" w:hAnsi="宋体"/>
          <w:b/>
          <w:color w:val="auto"/>
          <w:sz w:val="32"/>
        </w:rPr>
      </w:pPr>
    </w:p>
    <w:p>
      <w:pPr>
        <w:spacing w:line="500" w:lineRule="exact"/>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pPr>
        <w:spacing w:line="900" w:lineRule="exact"/>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响</w:t>
      </w:r>
    </w:p>
    <w:p>
      <w:pPr>
        <w:spacing w:line="900" w:lineRule="exact"/>
        <w:jc w:val="center"/>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应</w:t>
      </w:r>
    </w:p>
    <w:p>
      <w:pPr>
        <w:spacing w:line="900" w:lineRule="exact"/>
        <w:jc w:val="center"/>
        <w:rPr>
          <w:rFonts w:ascii="宋体" w:hAnsi="宋体"/>
          <w:b/>
          <w:color w:val="auto"/>
          <w:sz w:val="72"/>
        </w:rPr>
      </w:pPr>
    </w:p>
    <w:p>
      <w:pPr>
        <w:spacing w:line="900" w:lineRule="exact"/>
        <w:jc w:val="center"/>
        <w:rPr>
          <w:rFonts w:ascii="宋体" w:hAnsi="宋体"/>
          <w:b/>
          <w:color w:val="auto"/>
          <w:sz w:val="72"/>
        </w:rPr>
      </w:pPr>
      <w:r>
        <w:rPr>
          <w:rFonts w:hint="eastAsia" w:ascii="宋体" w:hAnsi="宋体"/>
          <w:b/>
          <w:color w:val="auto"/>
          <w:sz w:val="72"/>
        </w:rPr>
        <w:t>文</w:t>
      </w:r>
    </w:p>
    <w:p>
      <w:pPr>
        <w:spacing w:line="900" w:lineRule="exact"/>
        <w:jc w:val="center"/>
        <w:rPr>
          <w:rFonts w:ascii="宋体" w:hAnsi="宋体"/>
          <w:b/>
          <w:color w:val="auto"/>
          <w:sz w:val="72"/>
        </w:rPr>
      </w:pPr>
    </w:p>
    <w:p>
      <w:pPr>
        <w:jc w:val="center"/>
        <w:rPr>
          <w:rFonts w:ascii="宋体" w:hAnsi="宋体"/>
          <w:b/>
          <w:color w:val="auto"/>
          <w:sz w:val="72"/>
        </w:rPr>
      </w:pPr>
      <w:r>
        <w:rPr>
          <w:rFonts w:hint="eastAsia" w:ascii="宋体" w:hAnsi="宋体"/>
          <w:b/>
          <w:color w:val="auto"/>
          <w:sz w:val="72"/>
        </w:rPr>
        <w:t>件</w:t>
      </w:r>
    </w:p>
    <w:p>
      <w:pPr>
        <w:spacing w:after="156" w:afterLines="50"/>
        <w:jc w:val="center"/>
        <w:rPr>
          <w:rFonts w:ascii="宋体" w:hAnsi="宋体"/>
          <w:b/>
          <w:color w:val="auto"/>
          <w:sz w:val="72"/>
        </w:rPr>
      </w:pPr>
    </w:p>
    <w:p>
      <w:pPr>
        <w:spacing w:after="156" w:afterLines="50" w:line="500" w:lineRule="exact"/>
        <w:jc w:val="center"/>
        <w:rPr>
          <w:rFonts w:ascii="宋体" w:hAnsi="宋体"/>
          <w:b/>
          <w:color w:val="auto"/>
          <w:sz w:val="72"/>
        </w:rPr>
      </w:pPr>
    </w:p>
    <w:p>
      <w:pPr>
        <w:spacing w:after="156" w:afterLines="50" w:line="500" w:lineRule="exact"/>
        <w:ind w:firstLine="1606" w:firstLineChars="500"/>
        <w:rPr>
          <w:rFonts w:ascii="宋体" w:hAnsi="宋体"/>
          <w:b/>
          <w:color w:val="auto"/>
          <w:sz w:val="32"/>
          <w:u w:val="single"/>
        </w:rPr>
      </w:pPr>
      <w:r>
        <w:rPr>
          <w:rFonts w:hint="eastAsia" w:ascii="宋体" w:hAnsi="宋体"/>
          <w:b/>
          <w:color w:val="auto"/>
          <w:sz w:val="32"/>
        </w:rPr>
        <w:t>供应商：</w:t>
      </w:r>
    </w:p>
    <w:p>
      <w:pPr>
        <w:spacing w:after="156" w:afterLines="50" w:line="500" w:lineRule="exact"/>
        <w:jc w:val="center"/>
        <w:rPr>
          <w:rFonts w:ascii="宋体" w:hAnsi="宋体"/>
          <w:b/>
          <w:color w:val="auto"/>
          <w:sz w:val="32"/>
        </w:rPr>
      </w:pPr>
      <w:r>
        <w:rPr>
          <w:rFonts w:hint="eastAsia" w:ascii="宋体" w:hAnsi="宋体"/>
          <w:b/>
          <w:color w:val="auto"/>
          <w:sz w:val="32"/>
        </w:rPr>
        <w:t>年  月  日</w:t>
      </w:r>
    </w:p>
    <w:p>
      <w:pPr>
        <w:spacing w:after="156" w:afterLines="50" w:line="500" w:lineRule="exact"/>
        <w:jc w:val="center"/>
        <w:rPr>
          <w:rFonts w:ascii="宋体" w:hAnsi="宋体"/>
          <w:b/>
          <w:color w:val="auto"/>
          <w:sz w:val="32"/>
        </w:rPr>
      </w:pPr>
    </w:p>
    <w:p>
      <w:pPr>
        <w:spacing w:line="360" w:lineRule="auto"/>
        <w:rPr>
          <w:rFonts w:ascii="宋体" w:hAnsi="宋体"/>
          <w:color w:val="auto"/>
          <w:sz w:val="24"/>
          <w:szCs w:val="28"/>
        </w:rPr>
      </w:pPr>
    </w:p>
    <w:bookmarkEnd w:id="98"/>
    <w:p>
      <w:pPr>
        <w:pStyle w:val="10"/>
        <w:spacing w:before="0" w:after="0" w:line="560" w:lineRule="exact"/>
        <w:jc w:val="center"/>
        <w:rPr>
          <w:rFonts w:ascii="宋体" w:hAnsi="宋体" w:eastAsia="宋体" w:cs="宋体"/>
          <w:color w:val="auto"/>
          <w:sz w:val="24"/>
          <w:szCs w:val="24"/>
        </w:rPr>
      </w:pPr>
      <w:bookmarkStart w:id="104" w:name="_Toc15319"/>
      <w:bookmarkStart w:id="105" w:name="_Toc219"/>
      <w:r>
        <w:rPr>
          <w:rFonts w:hint="eastAsia" w:ascii="宋体" w:hAnsi="宋体" w:eastAsia="宋体" w:cs="宋体"/>
          <w:color w:val="auto"/>
          <w:sz w:val="24"/>
          <w:szCs w:val="24"/>
        </w:rPr>
        <w:t>响应文件资料清单</w:t>
      </w:r>
      <w:bookmarkEnd w:id="104"/>
      <w:bookmarkEnd w:id="105"/>
    </w:p>
    <w:tbl>
      <w:tblPr>
        <w:tblStyle w:val="3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spacing w:line="400" w:lineRule="exact"/>
              <w:jc w:val="center"/>
              <w:rPr>
                <w:rFonts w:ascii="宋体" w:hAnsi="宋体"/>
                <w:b/>
                <w:color w:val="auto"/>
                <w:sz w:val="24"/>
              </w:rPr>
            </w:pPr>
            <w:r>
              <w:rPr>
                <w:rFonts w:hint="eastAsia" w:ascii="宋体" w:hAnsi="宋体"/>
                <w:b/>
                <w:color w:val="auto"/>
                <w:sz w:val="24"/>
              </w:rPr>
              <w:t>序号</w:t>
            </w:r>
          </w:p>
        </w:tc>
        <w:tc>
          <w:tcPr>
            <w:tcW w:w="6038" w:type="dxa"/>
            <w:vAlign w:val="center"/>
          </w:tcPr>
          <w:p>
            <w:pPr>
              <w:spacing w:line="400" w:lineRule="exact"/>
              <w:jc w:val="center"/>
              <w:rPr>
                <w:rFonts w:ascii="宋体" w:hAnsi="宋体"/>
                <w:b/>
                <w:color w:val="auto"/>
                <w:sz w:val="24"/>
              </w:rPr>
            </w:pPr>
            <w:r>
              <w:rPr>
                <w:rFonts w:hint="eastAsia" w:ascii="宋体" w:hAnsi="宋体"/>
                <w:b/>
                <w:color w:val="auto"/>
                <w:sz w:val="24"/>
              </w:rPr>
              <w:t>资料名称</w:t>
            </w:r>
          </w:p>
        </w:tc>
        <w:tc>
          <w:tcPr>
            <w:tcW w:w="1417" w:type="dxa"/>
            <w:vAlign w:val="center"/>
          </w:tcPr>
          <w:p>
            <w:pPr>
              <w:spacing w:line="400" w:lineRule="exact"/>
              <w:jc w:val="center"/>
              <w:rPr>
                <w:rFonts w:ascii="宋体" w:hAnsi="宋体"/>
                <w:b/>
                <w:color w:val="auto"/>
                <w:sz w:val="24"/>
              </w:rPr>
            </w:pPr>
            <w:r>
              <w:rPr>
                <w:rFonts w:hint="eastAsia" w:ascii="宋体" w:hAnsi="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一</w:t>
            </w:r>
          </w:p>
        </w:tc>
        <w:tc>
          <w:tcPr>
            <w:tcW w:w="6038" w:type="dxa"/>
            <w:vAlign w:val="center"/>
          </w:tcPr>
          <w:p>
            <w:pPr>
              <w:spacing w:line="360" w:lineRule="auto"/>
              <w:rPr>
                <w:rFonts w:ascii="Tahoma" w:hAnsi="Tahoma"/>
                <w:color w:val="auto"/>
                <w:sz w:val="24"/>
              </w:rPr>
            </w:pPr>
            <w:r>
              <w:rPr>
                <w:rFonts w:hint="eastAsia" w:ascii="宋体" w:hAnsi="宋体"/>
                <w:color w:val="auto"/>
                <w:sz w:val="24"/>
                <w:szCs w:val="24"/>
              </w:rPr>
              <w:t>报价单</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二</w:t>
            </w:r>
          </w:p>
        </w:tc>
        <w:tc>
          <w:tcPr>
            <w:tcW w:w="6038" w:type="dxa"/>
            <w:vAlign w:val="center"/>
          </w:tcPr>
          <w:p>
            <w:pPr>
              <w:spacing w:line="360" w:lineRule="auto"/>
              <w:rPr>
                <w:rFonts w:ascii="Tahoma" w:hAnsi="Tahoma"/>
                <w:color w:val="auto"/>
                <w:sz w:val="24"/>
              </w:rPr>
            </w:pPr>
            <w:r>
              <w:rPr>
                <w:rFonts w:hint="eastAsia" w:ascii="Tahoma" w:hAnsi="Tahoma"/>
                <w:color w:val="auto"/>
                <w:sz w:val="24"/>
              </w:rPr>
              <w:t>供应商基本信息</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三</w:t>
            </w:r>
          </w:p>
        </w:tc>
        <w:tc>
          <w:tcPr>
            <w:tcW w:w="6038" w:type="dxa"/>
            <w:vAlign w:val="center"/>
          </w:tcPr>
          <w:p>
            <w:pPr>
              <w:pStyle w:val="74"/>
              <w:rPr>
                <w:color w:val="auto"/>
              </w:rPr>
            </w:pPr>
            <w:r>
              <w:rPr>
                <w:rFonts w:hint="eastAsia" w:ascii="宋体" w:hAnsi="宋体"/>
                <w:color w:val="auto"/>
                <w:szCs w:val="24"/>
              </w:rPr>
              <w:t>谈判授权书</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四</w:t>
            </w:r>
          </w:p>
        </w:tc>
        <w:tc>
          <w:tcPr>
            <w:tcW w:w="6038" w:type="dxa"/>
            <w:vAlign w:val="center"/>
          </w:tcPr>
          <w:p>
            <w:pPr>
              <w:pStyle w:val="74"/>
              <w:rPr>
                <w:color w:val="auto"/>
              </w:rPr>
            </w:pPr>
            <w:r>
              <w:rPr>
                <w:rFonts w:hint="eastAsia" w:ascii="宋体" w:hAnsi="宋体"/>
                <w:color w:val="auto"/>
                <w:szCs w:val="24"/>
              </w:rPr>
              <w:t>谈判响应函</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color w:val="auto"/>
                <w:sz w:val="24"/>
              </w:rPr>
            </w:pPr>
            <w:r>
              <w:rPr>
                <w:rFonts w:hint="eastAsia" w:ascii="Tahoma" w:hAnsi="Tahoma"/>
                <w:color w:val="auto"/>
                <w:sz w:val="24"/>
              </w:rPr>
              <w:t>五</w:t>
            </w:r>
          </w:p>
        </w:tc>
        <w:tc>
          <w:tcPr>
            <w:tcW w:w="6038" w:type="dxa"/>
            <w:vAlign w:val="center"/>
          </w:tcPr>
          <w:p>
            <w:pPr>
              <w:rPr>
                <w:rFonts w:ascii="宋体" w:hAnsi="宋体" w:cs="宋体"/>
                <w:color w:val="auto"/>
                <w:sz w:val="24"/>
              </w:rPr>
            </w:pPr>
            <w:r>
              <w:rPr>
                <w:rFonts w:hint="eastAsia" w:ascii="宋体" w:hAnsi="宋体" w:cs="宋体"/>
                <w:color w:val="auto"/>
                <w:sz w:val="24"/>
                <w:szCs w:val="24"/>
              </w:rPr>
              <w:t>无重大违法记录声明函、无不良信用记录承诺函</w:t>
            </w:r>
          </w:p>
        </w:tc>
        <w:tc>
          <w:tcPr>
            <w:tcW w:w="1417" w:type="dxa"/>
            <w:vAlign w:val="center"/>
          </w:tcPr>
          <w:p>
            <w:pPr>
              <w:spacing w:line="360" w:lineRule="auto"/>
              <w:jc w:val="center"/>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pPr>
              <w:jc w:val="center"/>
              <w:rPr>
                <w:rFonts w:ascii="Tahoma" w:hAnsi="Tahoma"/>
                <w:color w:val="auto"/>
                <w:sz w:val="24"/>
              </w:rPr>
            </w:pPr>
            <w:r>
              <w:rPr>
                <w:rFonts w:hint="eastAsia" w:ascii="Tahoma" w:hAnsi="Tahoma"/>
                <w:color w:val="auto"/>
                <w:sz w:val="24"/>
              </w:rPr>
              <w:t>六</w:t>
            </w:r>
          </w:p>
        </w:tc>
        <w:tc>
          <w:tcPr>
            <w:tcW w:w="6038" w:type="dxa"/>
            <w:vAlign w:val="center"/>
          </w:tcPr>
          <w:p>
            <w:pPr>
              <w:rPr>
                <w:rFonts w:ascii="宋体" w:hAnsi="宋体" w:cs="宋体"/>
                <w:color w:val="auto"/>
                <w:sz w:val="24"/>
              </w:rPr>
            </w:pPr>
            <w:r>
              <w:rPr>
                <w:rFonts w:hint="eastAsia" w:ascii="宋体" w:hAnsi="宋体" w:cs="宋体"/>
                <w:color w:val="auto"/>
                <w:sz w:val="24"/>
                <w:szCs w:val="24"/>
              </w:rPr>
              <w:t>响应情况表</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pPr>
              <w:jc w:val="center"/>
              <w:rPr>
                <w:rFonts w:ascii="Tahoma" w:hAnsi="Tahoma"/>
                <w:color w:val="auto"/>
                <w:sz w:val="24"/>
              </w:rPr>
            </w:pPr>
            <w:r>
              <w:rPr>
                <w:rFonts w:hint="eastAsia" w:ascii="Tahoma" w:hAnsi="Tahoma"/>
                <w:color w:val="auto"/>
                <w:sz w:val="24"/>
              </w:rPr>
              <w:t>七</w:t>
            </w:r>
          </w:p>
        </w:tc>
        <w:tc>
          <w:tcPr>
            <w:tcW w:w="6038" w:type="dxa"/>
            <w:vAlign w:val="center"/>
          </w:tcPr>
          <w:p>
            <w:pPr>
              <w:rPr>
                <w:rFonts w:ascii="宋体" w:hAnsi="宋体" w:cs="宋体"/>
                <w:color w:val="auto"/>
                <w:sz w:val="24"/>
              </w:rPr>
            </w:pPr>
            <w:r>
              <w:rPr>
                <w:rFonts w:hint="eastAsia" w:ascii="宋体" w:hAnsi="宋体" w:cs="宋体"/>
                <w:color w:val="auto"/>
                <w:sz w:val="24"/>
                <w:szCs w:val="24"/>
              </w:rPr>
              <w:t>相关服务承诺函</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pPr>
              <w:jc w:val="center"/>
              <w:rPr>
                <w:rFonts w:ascii="Tahoma" w:hAnsi="Tahoma"/>
                <w:color w:val="auto"/>
                <w:sz w:val="24"/>
              </w:rPr>
            </w:pPr>
            <w:r>
              <w:rPr>
                <w:rFonts w:hint="eastAsia" w:ascii="Tahoma" w:hAnsi="Tahoma"/>
                <w:color w:val="auto"/>
                <w:sz w:val="24"/>
              </w:rPr>
              <w:t>八</w:t>
            </w:r>
          </w:p>
        </w:tc>
        <w:tc>
          <w:tcPr>
            <w:tcW w:w="6038" w:type="dxa"/>
            <w:vAlign w:val="center"/>
          </w:tcPr>
          <w:p>
            <w:pPr>
              <w:rPr>
                <w:rFonts w:ascii="宋体" w:hAnsi="宋体" w:cs="宋体"/>
                <w:color w:val="auto"/>
                <w:sz w:val="24"/>
              </w:rPr>
            </w:pPr>
            <w:r>
              <w:rPr>
                <w:rFonts w:hint="eastAsia" w:ascii="宋体" w:hAnsi="宋体" w:cs="宋体"/>
                <w:color w:val="auto"/>
                <w:sz w:val="24"/>
                <w:szCs w:val="24"/>
              </w:rPr>
              <w:t>谈判文件要求和供应商认为需要提供的其它说明和资料</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pPr>
              <w:jc w:val="center"/>
              <w:rPr>
                <w:color w:val="auto"/>
                <w:sz w:val="24"/>
              </w:rPr>
            </w:pPr>
            <w:r>
              <w:rPr>
                <w:rFonts w:hint="eastAsia"/>
                <w:color w:val="auto"/>
                <w:sz w:val="24"/>
              </w:rPr>
              <w:t>九</w:t>
            </w:r>
          </w:p>
        </w:tc>
        <w:tc>
          <w:tcPr>
            <w:tcW w:w="6038" w:type="dxa"/>
            <w:vAlign w:val="center"/>
          </w:tcPr>
          <w:p>
            <w:pPr>
              <w:rPr>
                <w:rFonts w:ascii="宋体" w:hAnsi="宋体" w:cs="宋体"/>
                <w:color w:val="auto"/>
                <w:sz w:val="24"/>
              </w:rPr>
            </w:pPr>
            <w:r>
              <w:rPr>
                <w:rFonts w:hint="eastAsia"/>
                <w:color w:val="auto"/>
                <w:sz w:val="24"/>
              </w:rPr>
              <w:t>二轮报价表</w:t>
            </w: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pPr>
              <w:jc w:val="center"/>
              <w:rPr>
                <w:color w:val="auto"/>
                <w:sz w:val="24"/>
              </w:rPr>
            </w:pPr>
          </w:p>
        </w:tc>
        <w:tc>
          <w:tcPr>
            <w:tcW w:w="6038" w:type="dxa"/>
            <w:vAlign w:val="center"/>
          </w:tcPr>
          <w:p>
            <w:pPr>
              <w:rPr>
                <w:color w:val="auto"/>
                <w:sz w:val="24"/>
              </w:rPr>
            </w:pPr>
          </w:p>
        </w:tc>
        <w:tc>
          <w:tcPr>
            <w:tcW w:w="1417" w:type="dxa"/>
            <w:vAlign w:val="center"/>
          </w:tcPr>
          <w:p>
            <w:pPr>
              <w:spacing w:line="360" w:lineRule="auto"/>
              <w:rPr>
                <w:rFonts w:ascii="宋体" w:hAnsi="宋体"/>
                <w:b/>
                <w:color w:val="auto"/>
                <w:sz w:val="24"/>
              </w:rPr>
            </w:pPr>
          </w:p>
        </w:tc>
      </w:tr>
    </w:tbl>
    <w:p>
      <w:pPr>
        <w:spacing w:line="360" w:lineRule="auto"/>
        <w:jc w:val="center"/>
        <w:rPr>
          <w:rFonts w:ascii="宋体" w:hAnsi="宋体"/>
          <w:b/>
          <w:color w:val="auto"/>
          <w:sz w:val="24"/>
        </w:rPr>
      </w:pPr>
    </w:p>
    <w:p>
      <w:pPr>
        <w:spacing w:line="360" w:lineRule="auto"/>
        <w:jc w:val="center"/>
        <w:rPr>
          <w:rFonts w:ascii="宋体" w:hAnsi="宋体"/>
          <w:b/>
          <w:color w:val="auto"/>
          <w:sz w:val="24"/>
        </w:rPr>
      </w:pPr>
    </w:p>
    <w:p>
      <w:pPr>
        <w:spacing w:line="360" w:lineRule="auto"/>
        <w:jc w:val="center"/>
        <w:rPr>
          <w:rFonts w:ascii="宋体" w:hAnsi="宋体"/>
          <w:b/>
          <w:color w:val="auto"/>
          <w:sz w:val="24"/>
        </w:rPr>
      </w:pPr>
    </w:p>
    <w:p>
      <w:pPr>
        <w:rPr>
          <w:rFonts w:ascii="宋体" w:hAnsi="宋体" w:cs="宋体"/>
          <w:color w:val="auto"/>
          <w:sz w:val="24"/>
          <w:szCs w:val="24"/>
        </w:rPr>
      </w:pPr>
      <w:r>
        <w:rPr>
          <w:rFonts w:hint="eastAsia" w:ascii="宋体" w:hAnsi="宋体" w:cs="宋体"/>
          <w:color w:val="auto"/>
          <w:sz w:val="24"/>
          <w:szCs w:val="24"/>
        </w:rPr>
        <w:br w:type="page"/>
      </w:r>
    </w:p>
    <w:p>
      <w:pPr>
        <w:pStyle w:val="10"/>
        <w:spacing w:before="0" w:after="0" w:line="560" w:lineRule="exact"/>
        <w:rPr>
          <w:rFonts w:ascii="宋体" w:hAnsi="宋体" w:eastAsia="宋体" w:cs="宋体"/>
          <w:color w:val="auto"/>
          <w:sz w:val="24"/>
          <w:szCs w:val="24"/>
        </w:rPr>
      </w:pPr>
      <w:bookmarkStart w:id="106" w:name="_Toc10531"/>
      <w:bookmarkStart w:id="107" w:name="_Toc19381"/>
      <w:r>
        <w:rPr>
          <w:rFonts w:hint="eastAsia" w:ascii="宋体" w:hAnsi="宋体" w:eastAsia="宋体" w:cs="宋体"/>
          <w:color w:val="auto"/>
          <w:sz w:val="24"/>
          <w:szCs w:val="24"/>
        </w:rPr>
        <w:t>附件一</w:t>
      </w:r>
      <w:bookmarkEnd w:id="106"/>
      <w:bookmarkEnd w:id="107"/>
    </w:p>
    <w:p>
      <w:pPr>
        <w:pStyle w:val="10"/>
        <w:spacing w:before="156" w:beforeLines="50" w:after="156" w:afterLines="50" w:line="560" w:lineRule="exact"/>
        <w:jc w:val="center"/>
        <w:rPr>
          <w:rFonts w:ascii="宋体" w:hAnsi="宋体" w:eastAsia="宋体" w:cs="宋体"/>
          <w:color w:val="auto"/>
          <w:sz w:val="24"/>
          <w:szCs w:val="24"/>
        </w:rPr>
      </w:pPr>
      <w:bookmarkStart w:id="108" w:name="_Toc21540"/>
      <w:bookmarkStart w:id="109" w:name="_Toc2332"/>
      <w:bookmarkStart w:id="110" w:name="_Toc5601"/>
      <w:r>
        <w:rPr>
          <w:rFonts w:hint="eastAsia" w:ascii="宋体" w:hAnsi="宋体" w:eastAsia="宋体" w:cs="宋体"/>
          <w:color w:val="auto"/>
          <w:sz w:val="24"/>
          <w:szCs w:val="24"/>
        </w:rPr>
        <w:t>报价单</w:t>
      </w:r>
      <w:bookmarkEnd w:id="108"/>
      <w:bookmarkEnd w:id="109"/>
      <w:bookmarkEnd w:id="110"/>
    </w:p>
    <w:tbl>
      <w:tblPr>
        <w:tblStyle w:val="37"/>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pPr>
              <w:jc w:val="center"/>
              <w:rPr>
                <w:rFonts w:ascii="宋体" w:hAnsi="宋体"/>
                <w:b/>
                <w:color w:val="auto"/>
                <w:sz w:val="24"/>
                <w:szCs w:val="24"/>
              </w:rPr>
            </w:pPr>
            <w:r>
              <w:rPr>
                <w:rFonts w:hint="eastAsia" w:ascii="宋体" w:hAnsi="宋体"/>
                <w:b/>
                <w:color w:val="auto"/>
                <w:sz w:val="24"/>
                <w:szCs w:val="24"/>
              </w:rPr>
              <w:t>序号</w:t>
            </w:r>
          </w:p>
        </w:tc>
        <w:tc>
          <w:tcPr>
            <w:tcW w:w="4078" w:type="dxa"/>
            <w:vAlign w:val="center"/>
          </w:tcPr>
          <w:p>
            <w:pPr>
              <w:jc w:val="center"/>
              <w:rPr>
                <w:rFonts w:ascii="宋体" w:hAnsi="宋体"/>
                <w:b/>
                <w:color w:val="auto"/>
                <w:sz w:val="24"/>
                <w:szCs w:val="24"/>
              </w:rPr>
            </w:pPr>
            <w:r>
              <w:rPr>
                <w:rFonts w:hint="eastAsia" w:ascii="宋体" w:hAnsi="宋体"/>
                <w:b/>
                <w:color w:val="auto"/>
                <w:sz w:val="24"/>
                <w:szCs w:val="24"/>
              </w:rPr>
              <w:t>服务内容</w:t>
            </w:r>
          </w:p>
        </w:tc>
        <w:tc>
          <w:tcPr>
            <w:tcW w:w="1214" w:type="dxa"/>
            <w:vAlign w:val="center"/>
          </w:tcPr>
          <w:p>
            <w:pPr>
              <w:jc w:val="center"/>
              <w:rPr>
                <w:rFonts w:ascii="宋体" w:hAnsi="宋体"/>
                <w:b/>
                <w:color w:val="auto"/>
                <w:sz w:val="24"/>
                <w:szCs w:val="24"/>
              </w:rPr>
            </w:pPr>
            <w:r>
              <w:rPr>
                <w:rFonts w:hint="eastAsia" w:ascii="宋体" w:hAnsi="宋体"/>
                <w:b/>
                <w:color w:val="auto"/>
                <w:sz w:val="24"/>
                <w:szCs w:val="24"/>
              </w:rPr>
              <w:t>项</w:t>
            </w:r>
          </w:p>
        </w:tc>
        <w:tc>
          <w:tcPr>
            <w:tcW w:w="1091" w:type="dxa"/>
            <w:vAlign w:val="center"/>
          </w:tcPr>
          <w:p>
            <w:pPr>
              <w:jc w:val="center"/>
              <w:rPr>
                <w:rFonts w:ascii="宋体" w:hAnsi="宋体"/>
                <w:b/>
                <w:color w:val="auto"/>
                <w:sz w:val="24"/>
                <w:szCs w:val="24"/>
              </w:rPr>
            </w:pPr>
            <w:r>
              <w:rPr>
                <w:rFonts w:hint="eastAsia" w:ascii="宋体" w:hAnsi="宋体"/>
                <w:b/>
                <w:color w:val="auto"/>
                <w:sz w:val="24"/>
                <w:szCs w:val="24"/>
              </w:rPr>
              <w:t>单价</w:t>
            </w:r>
          </w:p>
        </w:tc>
        <w:tc>
          <w:tcPr>
            <w:tcW w:w="1821" w:type="dxa"/>
            <w:vAlign w:val="center"/>
          </w:tcPr>
          <w:p>
            <w:pPr>
              <w:jc w:val="center"/>
              <w:rPr>
                <w:rFonts w:ascii="宋体" w:hAnsi="宋体"/>
                <w:b/>
                <w:color w:val="auto"/>
                <w:sz w:val="24"/>
                <w:szCs w:val="24"/>
              </w:rPr>
            </w:pPr>
            <w:r>
              <w:rPr>
                <w:rFonts w:hint="eastAsia" w:ascii="宋体" w:hAnsi="宋体"/>
                <w:b/>
                <w:color w:val="auto"/>
                <w:sz w:val="24"/>
                <w:szCs w:val="24"/>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pPr>
              <w:jc w:val="center"/>
              <w:rPr>
                <w:rFonts w:ascii="宋体" w:hAnsi="宋体"/>
                <w:bCs/>
                <w:color w:val="auto"/>
                <w:sz w:val="24"/>
                <w:szCs w:val="24"/>
              </w:rPr>
            </w:pPr>
            <w:r>
              <w:rPr>
                <w:rFonts w:hint="eastAsia" w:ascii="宋体" w:hAnsi="宋体"/>
                <w:bCs/>
                <w:color w:val="auto"/>
                <w:sz w:val="24"/>
                <w:szCs w:val="24"/>
              </w:rPr>
              <w:t>1</w:t>
            </w:r>
          </w:p>
        </w:tc>
        <w:tc>
          <w:tcPr>
            <w:tcW w:w="4078" w:type="dxa"/>
            <w:vAlign w:val="center"/>
          </w:tcPr>
          <w:p>
            <w:pPr>
              <w:jc w:val="center"/>
              <w:rPr>
                <w:rFonts w:hint="eastAsia" w:ascii="宋体" w:hAnsi="宋体" w:eastAsia="宋体"/>
                <w:bCs/>
                <w:color w:val="auto"/>
                <w:sz w:val="24"/>
                <w:szCs w:val="24"/>
                <w:lang w:eastAsia="zh-CN"/>
              </w:rPr>
            </w:pPr>
            <w:r>
              <w:rPr>
                <w:rFonts w:hint="eastAsia" w:ascii="宋体" w:hAnsi="宋体"/>
                <w:bCs/>
                <w:color w:val="auto"/>
                <w:sz w:val="24"/>
                <w:szCs w:val="24"/>
                <w:lang w:eastAsia="zh-CN"/>
              </w:rPr>
              <w:t>北郊支渠游园海绵化改造等四个项目第三方检测服务</w:t>
            </w:r>
          </w:p>
        </w:tc>
        <w:tc>
          <w:tcPr>
            <w:tcW w:w="1214" w:type="dxa"/>
            <w:vAlign w:val="center"/>
          </w:tcPr>
          <w:p>
            <w:pPr>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1</w:t>
            </w:r>
          </w:p>
        </w:tc>
        <w:tc>
          <w:tcPr>
            <w:tcW w:w="1091" w:type="dxa"/>
            <w:vAlign w:val="center"/>
          </w:tcPr>
          <w:p>
            <w:pPr>
              <w:jc w:val="center"/>
              <w:rPr>
                <w:rFonts w:ascii="宋体" w:hAnsi="宋体"/>
                <w:bCs/>
                <w:color w:val="auto"/>
                <w:sz w:val="24"/>
                <w:szCs w:val="24"/>
              </w:rPr>
            </w:pPr>
          </w:p>
        </w:tc>
        <w:tc>
          <w:tcPr>
            <w:tcW w:w="1821" w:type="dxa"/>
            <w:vAlign w:val="center"/>
          </w:tcPr>
          <w:p>
            <w:pPr>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40" w:type="dxa"/>
            <w:vAlign w:val="center"/>
          </w:tcPr>
          <w:p>
            <w:pPr>
              <w:jc w:val="center"/>
              <w:rPr>
                <w:rFonts w:ascii="宋体" w:hAnsi="宋体"/>
                <w:bCs/>
                <w:color w:val="auto"/>
                <w:sz w:val="24"/>
                <w:szCs w:val="24"/>
              </w:rPr>
            </w:pPr>
            <w:r>
              <w:rPr>
                <w:rFonts w:hint="eastAsia" w:ascii="宋体" w:hAnsi="宋体"/>
                <w:bCs/>
                <w:color w:val="auto"/>
                <w:sz w:val="24"/>
                <w:szCs w:val="24"/>
              </w:rPr>
              <w:t>2</w:t>
            </w:r>
          </w:p>
        </w:tc>
        <w:tc>
          <w:tcPr>
            <w:tcW w:w="4078" w:type="dxa"/>
            <w:vAlign w:val="center"/>
          </w:tcPr>
          <w:p>
            <w:pPr>
              <w:jc w:val="center"/>
              <w:rPr>
                <w:rFonts w:hint="eastAsia" w:ascii="宋体" w:hAnsi="宋体"/>
                <w:bCs/>
                <w:color w:val="auto"/>
                <w:sz w:val="24"/>
                <w:szCs w:val="24"/>
              </w:rPr>
            </w:pPr>
          </w:p>
        </w:tc>
        <w:tc>
          <w:tcPr>
            <w:tcW w:w="1214" w:type="dxa"/>
            <w:vAlign w:val="center"/>
          </w:tcPr>
          <w:p>
            <w:pPr>
              <w:jc w:val="center"/>
              <w:rPr>
                <w:rFonts w:ascii="宋体" w:hAnsi="宋体"/>
                <w:bCs/>
                <w:color w:val="auto"/>
                <w:sz w:val="24"/>
                <w:szCs w:val="24"/>
              </w:rPr>
            </w:pPr>
          </w:p>
        </w:tc>
        <w:tc>
          <w:tcPr>
            <w:tcW w:w="1091" w:type="dxa"/>
            <w:vAlign w:val="center"/>
          </w:tcPr>
          <w:p>
            <w:pPr>
              <w:jc w:val="center"/>
              <w:rPr>
                <w:rFonts w:ascii="宋体" w:hAnsi="宋体"/>
                <w:bCs/>
                <w:color w:val="auto"/>
                <w:sz w:val="24"/>
                <w:szCs w:val="24"/>
              </w:rPr>
            </w:pPr>
          </w:p>
        </w:tc>
        <w:tc>
          <w:tcPr>
            <w:tcW w:w="1821" w:type="dxa"/>
            <w:vAlign w:val="center"/>
          </w:tcPr>
          <w:p>
            <w:pPr>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40" w:type="dxa"/>
            <w:vAlign w:val="center"/>
          </w:tcPr>
          <w:p>
            <w:pPr>
              <w:jc w:val="center"/>
              <w:rPr>
                <w:rFonts w:ascii="宋体" w:hAnsi="宋体"/>
                <w:bCs/>
                <w:color w:val="auto"/>
                <w:sz w:val="24"/>
                <w:szCs w:val="24"/>
              </w:rPr>
            </w:pPr>
            <w:r>
              <w:rPr>
                <w:rFonts w:hint="eastAsia" w:ascii="宋体" w:hAnsi="宋体"/>
                <w:bCs/>
                <w:color w:val="auto"/>
                <w:sz w:val="24"/>
                <w:szCs w:val="24"/>
              </w:rPr>
              <w:t>3</w:t>
            </w:r>
          </w:p>
        </w:tc>
        <w:tc>
          <w:tcPr>
            <w:tcW w:w="4078" w:type="dxa"/>
            <w:vAlign w:val="center"/>
          </w:tcPr>
          <w:p>
            <w:pPr>
              <w:jc w:val="center"/>
              <w:rPr>
                <w:rFonts w:hint="eastAsia" w:ascii="宋体" w:hAnsi="宋体"/>
                <w:bCs/>
                <w:color w:val="auto"/>
                <w:sz w:val="24"/>
                <w:szCs w:val="24"/>
              </w:rPr>
            </w:pPr>
          </w:p>
        </w:tc>
        <w:tc>
          <w:tcPr>
            <w:tcW w:w="1214" w:type="dxa"/>
            <w:vAlign w:val="center"/>
          </w:tcPr>
          <w:p>
            <w:pPr>
              <w:jc w:val="center"/>
              <w:rPr>
                <w:rFonts w:ascii="宋体" w:hAnsi="宋体"/>
                <w:bCs/>
                <w:color w:val="auto"/>
                <w:sz w:val="24"/>
                <w:szCs w:val="24"/>
              </w:rPr>
            </w:pPr>
          </w:p>
        </w:tc>
        <w:tc>
          <w:tcPr>
            <w:tcW w:w="1091" w:type="dxa"/>
            <w:vAlign w:val="center"/>
          </w:tcPr>
          <w:p>
            <w:pPr>
              <w:jc w:val="center"/>
              <w:rPr>
                <w:rFonts w:ascii="宋体" w:hAnsi="宋体"/>
                <w:bCs/>
                <w:color w:val="auto"/>
                <w:sz w:val="24"/>
                <w:szCs w:val="24"/>
              </w:rPr>
            </w:pPr>
          </w:p>
        </w:tc>
        <w:tc>
          <w:tcPr>
            <w:tcW w:w="1821" w:type="dxa"/>
            <w:vAlign w:val="center"/>
          </w:tcPr>
          <w:p>
            <w:pPr>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color w:val="auto"/>
                <w:sz w:val="24"/>
                <w:szCs w:val="24"/>
              </w:rPr>
            </w:pPr>
            <w:r>
              <w:rPr>
                <w:rFonts w:ascii="宋体" w:hAnsi="宋体"/>
                <w:bCs/>
                <w:color w:val="auto"/>
                <w:sz w:val="24"/>
                <w:szCs w:val="24"/>
              </w:rPr>
              <w:t>…</w:t>
            </w:r>
          </w:p>
        </w:tc>
        <w:tc>
          <w:tcPr>
            <w:tcW w:w="4078" w:type="dxa"/>
            <w:vAlign w:val="center"/>
          </w:tcPr>
          <w:p>
            <w:pPr>
              <w:jc w:val="center"/>
              <w:rPr>
                <w:rFonts w:ascii="宋体" w:hAnsi="宋体"/>
                <w:bCs/>
                <w:color w:val="auto"/>
                <w:sz w:val="24"/>
                <w:szCs w:val="24"/>
              </w:rPr>
            </w:pPr>
          </w:p>
        </w:tc>
        <w:tc>
          <w:tcPr>
            <w:tcW w:w="1214" w:type="dxa"/>
            <w:vAlign w:val="center"/>
          </w:tcPr>
          <w:p>
            <w:pPr>
              <w:jc w:val="center"/>
              <w:rPr>
                <w:rFonts w:ascii="宋体" w:hAnsi="宋体"/>
                <w:bCs/>
                <w:color w:val="auto"/>
                <w:sz w:val="24"/>
                <w:szCs w:val="24"/>
              </w:rPr>
            </w:pPr>
          </w:p>
        </w:tc>
        <w:tc>
          <w:tcPr>
            <w:tcW w:w="1091" w:type="dxa"/>
            <w:vAlign w:val="center"/>
          </w:tcPr>
          <w:p>
            <w:pPr>
              <w:jc w:val="center"/>
              <w:rPr>
                <w:rFonts w:ascii="宋体" w:hAnsi="宋体"/>
                <w:bCs/>
                <w:color w:val="auto"/>
                <w:sz w:val="24"/>
                <w:szCs w:val="24"/>
              </w:rPr>
            </w:pPr>
          </w:p>
        </w:tc>
        <w:tc>
          <w:tcPr>
            <w:tcW w:w="1821" w:type="dxa"/>
            <w:vAlign w:val="center"/>
          </w:tcPr>
          <w:p>
            <w:pPr>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ascii="宋体" w:hAnsi="宋体"/>
                <w:bCs/>
                <w:color w:val="auto"/>
                <w:sz w:val="24"/>
                <w:szCs w:val="24"/>
              </w:rPr>
            </w:pPr>
          </w:p>
        </w:tc>
        <w:tc>
          <w:tcPr>
            <w:tcW w:w="4078" w:type="dxa"/>
            <w:vAlign w:val="center"/>
          </w:tcPr>
          <w:p>
            <w:pPr>
              <w:pStyle w:val="74"/>
              <w:ind w:left="-108"/>
              <w:jc w:val="center"/>
              <w:rPr>
                <w:rFonts w:ascii="宋体" w:hAnsi="宋体"/>
                <w:bCs/>
                <w:color w:val="auto"/>
                <w:szCs w:val="24"/>
              </w:rPr>
            </w:pPr>
            <w:r>
              <w:rPr>
                <w:rFonts w:hint="eastAsia" w:ascii="宋体" w:hAnsi="宋体"/>
                <w:bCs/>
                <w:color w:val="auto"/>
                <w:szCs w:val="24"/>
              </w:rPr>
              <w:t>其他费用</w:t>
            </w:r>
          </w:p>
        </w:tc>
        <w:tc>
          <w:tcPr>
            <w:tcW w:w="1214" w:type="dxa"/>
            <w:vAlign w:val="center"/>
          </w:tcPr>
          <w:p>
            <w:pPr>
              <w:jc w:val="center"/>
              <w:rPr>
                <w:rFonts w:ascii="宋体" w:hAnsi="宋体"/>
                <w:bCs/>
                <w:color w:val="auto"/>
                <w:sz w:val="24"/>
                <w:szCs w:val="24"/>
              </w:rPr>
            </w:pPr>
          </w:p>
        </w:tc>
        <w:tc>
          <w:tcPr>
            <w:tcW w:w="1091" w:type="dxa"/>
            <w:vAlign w:val="center"/>
          </w:tcPr>
          <w:p>
            <w:pPr>
              <w:jc w:val="center"/>
              <w:rPr>
                <w:rFonts w:ascii="宋体" w:hAnsi="宋体"/>
                <w:bCs/>
                <w:color w:val="auto"/>
                <w:sz w:val="24"/>
                <w:szCs w:val="24"/>
              </w:rPr>
            </w:pPr>
          </w:p>
        </w:tc>
        <w:tc>
          <w:tcPr>
            <w:tcW w:w="1821" w:type="dxa"/>
            <w:vAlign w:val="center"/>
          </w:tcPr>
          <w:p>
            <w:pPr>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40" w:type="dxa"/>
            <w:vAlign w:val="center"/>
          </w:tcPr>
          <w:p>
            <w:pPr>
              <w:jc w:val="center"/>
              <w:rPr>
                <w:rFonts w:ascii="宋体" w:hAnsi="宋体"/>
                <w:bCs/>
                <w:color w:val="auto"/>
                <w:sz w:val="24"/>
                <w:szCs w:val="24"/>
              </w:rPr>
            </w:pPr>
          </w:p>
        </w:tc>
        <w:tc>
          <w:tcPr>
            <w:tcW w:w="4078" w:type="dxa"/>
            <w:vAlign w:val="center"/>
          </w:tcPr>
          <w:p>
            <w:pPr>
              <w:jc w:val="center"/>
              <w:rPr>
                <w:rFonts w:ascii="宋体" w:hAnsi="宋体"/>
                <w:bCs/>
                <w:color w:val="auto"/>
                <w:sz w:val="24"/>
                <w:szCs w:val="24"/>
              </w:rPr>
            </w:pPr>
            <w:r>
              <w:rPr>
                <w:rFonts w:ascii="宋体" w:hAnsi="宋体"/>
                <w:bCs/>
                <w:color w:val="auto"/>
                <w:sz w:val="24"/>
                <w:szCs w:val="24"/>
              </w:rPr>
              <w:t>……</w:t>
            </w:r>
          </w:p>
        </w:tc>
        <w:tc>
          <w:tcPr>
            <w:tcW w:w="1214" w:type="dxa"/>
            <w:vAlign w:val="center"/>
          </w:tcPr>
          <w:p>
            <w:pPr>
              <w:jc w:val="center"/>
              <w:rPr>
                <w:rFonts w:ascii="宋体" w:hAnsi="宋体"/>
                <w:bCs/>
                <w:color w:val="auto"/>
                <w:sz w:val="24"/>
                <w:szCs w:val="24"/>
              </w:rPr>
            </w:pPr>
          </w:p>
        </w:tc>
        <w:tc>
          <w:tcPr>
            <w:tcW w:w="1091" w:type="dxa"/>
            <w:vAlign w:val="center"/>
          </w:tcPr>
          <w:p>
            <w:pPr>
              <w:jc w:val="center"/>
              <w:rPr>
                <w:rFonts w:ascii="宋体" w:hAnsi="宋体"/>
                <w:bCs/>
                <w:color w:val="auto"/>
                <w:sz w:val="24"/>
                <w:szCs w:val="24"/>
              </w:rPr>
            </w:pPr>
          </w:p>
        </w:tc>
        <w:tc>
          <w:tcPr>
            <w:tcW w:w="1821" w:type="dxa"/>
            <w:vAlign w:val="center"/>
          </w:tcPr>
          <w:p>
            <w:pPr>
              <w:jc w:val="center"/>
              <w:rPr>
                <w:rFonts w:ascii="宋体" w:hAnsi="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223" w:type="dxa"/>
            <w:gridSpan w:val="4"/>
            <w:vAlign w:val="center"/>
          </w:tcPr>
          <w:p>
            <w:pPr>
              <w:jc w:val="center"/>
              <w:rPr>
                <w:rFonts w:ascii="宋体" w:hAnsi="宋体"/>
                <w:bCs/>
                <w:color w:val="auto"/>
                <w:sz w:val="24"/>
                <w:szCs w:val="24"/>
              </w:rPr>
            </w:pPr>
            <w:r>
              <w:rPr>
                <w:rFonts w:hint="eastAsia" w:ascii="宋体" w:hAnsi="宋体"/>
                <w:bCs/>
                <w:color w:val="auto"/>
                <w:sz w:val="24"/>
                <w:szCs w:val="24"/>
              </w:rPr>
              <w:t>合计金额（元）</w:t>
            </w:r>
          </w:p>
        </w:tc>
        <w:tc>
          <w:tcPr>
            <w:tcW w:w="1821" w:type="dxa"/>
            <w:vAlign w:val="center"/>
          </w:tcPr>
          <w:p>
            <w:pPr>
              <w:jc w:val="center"/>
              <w:rPr>
                <w:rFonts w:ascii="宋体" w:hAnsi="宋体"/>
                <w:bCs/>
                <w:color w:val="auto"/>
                <w:sz w:val="24"/>
                <w:szCs w:val="24"/>
              </w:rPr>
            </w:pPr>
          </w:p>
        </w:tc>
      </w:tr>
    </w:tbl>
    <w:p>
      <w:pPr>
        <w:snapToGrid w:val="0"/>
        <w:spacing w:line="360" w:lineRule="auto"/>
        <w:rPr>
          <w:rFonts w:ascii="宋体" w:hAnsi="宋体"/>
          <w:bCs/>
          <w:color w:val="auto"/>
          <w:sz w:val="24"/>
          <w:szCs w:val="24"/>
        </w:rPr>
      </w:pPr>
    </w:p>
    <w:p>
      <w:pPr>
        <w:snapToGrid w:val="0"/>
        <w:spacing w:line="360" w:lineRule="auto"/>
        <w:rPr>
          <w:rFonts w:ascii="宋体" w:hAnsi="宋体"/>
          <w:bCs/>
          <w:color w:val="auto"/>
          <w:sz w:val="24"/>
          <w:szCs w:val="24"/>
        </w:rPr>
      </w:pPr>
    </w:p>
    <w:p>
      <w:pPr>
        <w:spacing w:line="560" w:lineRule="exact"/>
        <w:ind w:right="480"/>
        <w:jc w:val="center"/>
        <w:rPr>
          <w:rFonts w:ascii="宋体" w:hAnsi="宋体"/>
          <w:b/>
          <w:bCs/>
          <w:color w:val="auto"/>
          <w:sz w:val="24"/>
          <w:szCs w:val="24"/>
        </w:rPr>
      </w:pPr>
      <w:r>
        <w:rPr>
          <w:rFonts w:hint="eastAsia" w:ascii="宋体" w:hAnsi="宋体"/>
          <w:b/>
          <w:bCs/>
          <w:color w:val="auto"/>
          <w:sz w:val="24"/>
          <w:szCs w:val="24"/>
        </w:rPr>
        <w:t xml:space="preserve">                              供应商盖章：</w:t>
      </w:r>
    </w:p>
    <w:p>
      <w:pPr>
        <w:spacing w:line="560" w:lineRule="exact"/>
        <w:ind w:firstLine="4336" w:firstLineChars="1800"/>
        <w:jc w:val="center"/>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pPr>
        <w:adjustRightInd w:val="0"/>
        <w:snapToGrid w:val="0"/>
        <w:spacing w:line="360" w:lineRule="auto"/>
        <w:rPr>
          <w:rFonts w:ascii="宋体" w:hAnsi="宋体"/>
          <w:b/>
          <w:color w:val="auto"/>
          <w:sz w:val="24"/>
          <w:szCs w:val="24"/>
        </w:rPr>
      </w:pPr>
    </w:p>
    <w:p>
      <w:pPr>
        <w:adjustRightInd w:val="0"/>
        <w:snapToGrid w:val="0"/>
        <w:spacing w:line="360" w:lineRule="auto"/>
        <w:rPr>
          <w:rFonts w:ascii="宋体" w:hAnsi="宋体"/>
          <w:b/>
          <w:color w:val="auto"/>
          <w:sz w:val="24"/>
          <w:szCs w:val="24"/>
        </w:rPr>
      </w:pPr>
    </w:p>
    <w:p>
      <w:pPr>
        <w:adjustRightInd w:val="0"/>
        <w:snapToGrid w:val="0"/>
        <w:spacing w:line="360" w:lineRule="auto"/>
        <w:rPr>
          <w:color w:val="auto"/>
          <w:sz w:val="24"/>
          <w:szCs w:val="24"/>
        </w:rPr>
      </w:pPr>
      <w:r>
        <w:rPr>
          <w:rFonts w:hint="eastAsia" w:ascii="宋体" w:hAnsi="宋体"/>
          <w:b/>
          <w:color w:val="auto"/>
          <w:sz w:val="24"/>
          <w:szCs w:val="24"/>
        </w:rPr>
        <w:t>注：表中所列服务为对应本项目需求的全部服务内容。如有漏项或缺项，投标供应商承担全部责任。</w:t>
      </w:r>
    </w:p>
    <w:p>
      <w:pPr>
        <w:spacing w:line="360" w:lineRule="auto"/>
        <w:rPr>
          <w:color w:val="auto"/>
          <w:sz w:val="24"/>
          <w:szCs w:val="24"/>
        </w:rPr>
      </w:pPr>
    </w:p>
    <w:p>
      <w:pPr>
        <w:spacing w:line="360" w:lineRule="auto"/>
        <w:rPr>
          <w:color w:val="auto"/>
          <w:sz w:val="24"/>
          <w:szCs w:val="24"/>
        </w:rPr>
      </w:pPr>
    </w:p>
    <w:p>
      <w:pPr>
        <w:adjustRightInd w:val="0"/>
        <w:snapToGrid w:val="0"/>
        <w:spacing w:line="360" w:lineRule="auto"/>
        <w:rPr>
          <w:rFonts w:hint="eastAsia" w:ascii="宋体" w:hAnsi="宋体" w:eastAsia="宋体"/>
          <w:sz w:val="24"/>
          <w:szCs w:val="24"/>
          <w:lang w:eastAsia="zh-CN"/>
        </w:rPr>
      </w:pPr>
    </w:p>
    <w:p>
      <w:pPr>
        <w:pStyle w:val="2"/>
        <w:rPr>
          <w:rFonts w:hint="eastAsia"/>
          <w:lang w:eastAsia="zh-CN"/>
        </w:rPr>
      </w:pPr>
    </w:p>
    <w:p>
      <w:pPr>
        <w:spacing w:line="360" w:lineRule="auto"/>
        <w:rPr>
          <w:color w:val="auto"/>
          <w:sz w:val="24"/>
          <w:szCs w:val="24"/>
        </w:rPr>
      </w:pPr>
    </w:p>
    <w:p>
      <w:pPr>
        <w:jc w:val="left"/>
        <w:rPr>
          <w:rFonts w:ascii="宋体" w:hAnsi="宋体"/>
          <w:b/>
          <w:color w:val="auto"/>
          <w:sz w:val="32"/>
          <w:szCs w:val="32"/>
        </w:rPr>
      </w:pPr>
    </w:p>
    <w:p>
      <w:pPr>
        <w:pStyle w:val="10"/>
        <w:spacing w:before="0" w:after="0" w:line="560" w:lineRule="exact"/>
        <w:rPr>
          <w:rFonts w:ascii="宋体" w:hAnsi="宋体" w:eastAsia="宋体" w:cs="宋体"/>
          <w:color w:val="auto"/>
          <w:sz w:val="24"/>
          <w:szCs w:val="24"/>
        </w:rPr>
      </w:pPr>
      <w:bookmarkStart w:id="111" w:name="_Toc18582"/>
      <w:bookmarkStart w:id="112" w:name="_Toc20862"/>
      <w:r>
        <w:rPr>
          <w:rFonts w:hint="eastAsia" w:ascii="宋体" w:hAnsi="宋体" w:eastAsia="宋体" w:cs="宋体"/>
          <w:color w:val="auto"/>
          <w:sz w:val="24"/>
          <w:szCs w:val="24"/>
        </w:rPr>
        <w:t>附件二</w:t>
      </w:r>
      <w:bookmarkEnd w:id="111"/>
      <w:bookmarkEnd w:id="112"/>
    </w:p>
    <w:p>
      <w:pPr>
        <w:pStyle w:val="10"/>
        <w:spacing w:before="0" w:after="0" w:line="560" w:lineRule="exact"/>
        <w:jc w:val="center"/>
        <w:rPr>
          <w:rFonts w:ascii="宋体" w:hAnsi="宋体" w:eastAsia="宋体" w:cs="宋体"/>
          <w:color w:val="auto"/>
          <w:sz w:val="24"/>
          <w:szCs w:val="24"/>
        </w:rPr>
      </w:pPr>
      <w:bookmarkStart w:id="113" w:name="_Toc9991"/>
      <w:bookmarkStart w:id="114" w:name="_Toc4686"/>
      <w:bookmarkStart w:id="115" w:name="_Toc17280"/>
      <w:r>
        <w:rPr>
          <w:rFonts w:hint="eastAsia" w:ascii="宋体" w:hAnsi="宋体" w:eastAsia="宋体" w:cs="宋体"/>
          <w:color w:val="auto"/>
          <w:sz w:val="24"/>
          <w:szCs w:val="24"/>
        </w:rPr>
        <w:t>供应商基本信息</w:t>
      </w:r>
      <w:bookmarkEnd w:id="113"/>
      <w:bookmarkEnd w:id="114"/>
      <w:bookmarkEnd w:id="115"/>
    </w:p>
    <w:p>
      <w:pPr>
        <w:spacing w:line="360" w:lineRule="auto"/>
        <w:jc w:val="center"/>
        <w:rPr>
          <w:color w:val="auto"/>
        </w:rPr>
      </w:pPr>
      <w:r>
        <w:rPr>
          <w:rFonts w:hint="eastAsia"/>
          <w:color w:val="auto"/>
          <w:sz w:val="24"/>
          <w:szCs w:val="24"/>
        </w:rPr>
        <w:t>（营业执照、资质证书等）</w:t>
      </w:r>
    </w:p>
    <w:p>
      <w:pPr>
        <w:pStyle w:val="10"/>
        <w:spacing w:before="0" w:after="0" w:line="560" w:lineRule="exact"/>
        <w:rPr>
          <w:rFonts w:ascii="宋体" w:hAnsi="宋体" w:eastAsia="宋体" w:cs="宋体"/>
          <w:color w:val="auto"/>
          <w:sz w:val="24"/>
          <w:szCs w:val="24"/>
        </w:rPr>
      </w:pPr>
      <w:bookmarkStart w:id="116" w:name="_Toc18811"/>
      <w:bookmarkStart w:id="117" w:name="_Toc26951"/>
      <w:r>
        <w:rPr>
          <w:rFonts w:hint="eastAsia" w:ascii="宋体" w:hAnsi="宋体" w:eastAsia="宋体" w:cs="宋体"/>
          <w:color w:val="auto"/>
          <w:sz w:val="24"/>
          <w:szCs w:val="24"/>
        </w:rPr>
        <w:t>附件三</w:t>
      </w:r>
      <w:bookmarkEnd w:id="116"/>
      <w:bookmarkEnd w:id="117"/>
    </w:p>
    <w:p>
      <w:pPr>
        <w:pStyle w:val="10"/>
        <w:spacing w:before="0" w:after="0" w:line="560" w:lineRule="exact"/>
        <w:jc w:val="center"/>
        <w:rPr>
          <w:rFonts w:ascii="宋体" w:hAnsi="宋体" w:eastAsia="宋体" w:cs="宋体"/>
          <w:color w:val="auto"/>
          <w:sz w:val="24"/>
          <w:szCs w:val="24"/>
        </w:rPr>
      </w:pPr>
      <w:bookmarkStart w:id="118" w:name="_Toc2697"/>
      <w:bookmarkStart w:id="119" w:name="_Toc11584"/>
      <w:bookmarkStart w:id="120" w:name="_Toc10696"/>
      <w:r>
        <w:rPr>
          <w:rFonts w:hint="eastAsia" w:ascii="宋体" w:hAnsi="宋体" w:eastAsia="宋体" w:cs="宋体"/>
          <w:color w:val="auto"/>
          <w:sz w:val="24"/>
          <w:szCs w:val="24"/>
        </w:rPr>
        <w:t>谈判授权书</w:t>
      </w:r>
      <w:bookmarkEnd w:id="118"/>
      <w:bookmarkEnd w:id="119"/>
      <w:bookmarkEnd w:id="120"/>
    </w:p>
    <w:p>
      <w:pPr>
        <w:rPr>
          <w:rFonts w:ascii="宋体" w:hAnsi="宋体"/>
          <w:color w:val="auto"/>
          <w:sz w:val="24"/>
          <w:szCs w:val="24"/>
        </w:rPr>
      </w:pPr>
    </w:p>
    <w:p>
      <w:pPr>
        <w:spacing w:line="480" w:lineRule="auto"/>
        <w:jc w:val="left"/>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（法定代表人姓名）授权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项目谈判活动的合法代理人，以我方名义全权处理与该项目谈判、签订合同以及合同执行有关的一切事务。</w:t>
      </w:r>
    </w:p>
    <w:p>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pPr>
        <w:spacing w:line="360" w:lineRule="auto"/>
        <w:ind w:firstLine="1084" w:firstLineChars="45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pPr>
        <w:spacing w:line="360" w:lineRule="auto"/>
        <w:ind w:firstLine="1084" w:firstLineChars="450"/>
        <w:jc w:val="left"/>
        <w:rPr>
          <w:rFonts w:ascii="宋体" w:hAnsi="宋体"/>
          <w:b/>
          <w:bCs/>
          <w:color w:val="auto"/>
          <w:sz w:val="24"/>
          <w:szCs w:val="24"/>
        </w:rPr>
      </w:pPr>
    </w:p>
    <w:p>
      <w:pPr>
        <w:spacing w:line="360" w:lineRule="auto"/>
        <w:ind w:firstLine="1084" w:firstLineChars="450"/>
        <w:jc w:val="left"/>
        <w:rPr>
          <w:rFonts w:ascii="宋体" w:hAnsi="宋体"/>
          <w:color w:val="auto"/>
          <w:sz w:val="24"/>
          <w:szCs w:val="24"/>
        </w:rPr>
      </w:pPr>
      <w:r>
        <w:rPr>
          <w:rFonts w:hint="eastAsia" w:ascii="宋体" w:hAnsi="宋体"/>
          <w:b/>
          <w:bCs/>
          <w:color w:val="auto"/>
          <w:sz w:val="24"/>
          <w:szCs w:val="24"/>
        </w:rPr>
        <w:t>授权委托人：</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pPr>
        <w:spacing w:line="360" w:lineRule="auto"/>
        <w:ind w:firstLine="1200" w:firstLineChars="500"/>
        <w:jc w:val="left"/>
        <w:rPr>
          <w:rFonts w:ascii="宋体" w:hAnsi="宋体"/>
          <w:color w:val="auto"/>
          <w:sz w:val="24"/>
          <w:szCs w:val="24"/>
        </w:rPr>
      </w:pPr>
      <w:r>
        <w:rPr>
          <w:rFonts w:hint="eastAsia" w:ascii="宋体" w:hAnsi="宋体"/>
          <w:color w:val="auto"/>
          <w:sz w:val="24"/>
          <w:szCs w:val="24"/>
        </w:rPr>
        <w:t>固定电话：</w:t>
      </w:r>
    </w:p>
    <w:p>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u w:val="single"/>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注：后附法定代表人及授权委托人的身份证扫描件。</w:t>
      </w:r>
    </w:p>
    <w:p>
      <w:pPr>
        <w:wordWrap w:val="0"/>
        <w:spacing w:line="360" w:lineRule="auto"/>
        <w:jc w:val="right"/>
        <w:rPr>
          <w:rFonts w:ascii="宋体" w:hAnsi="宋体"/>
          <w:color w:val="auto"/>
          <w:sz w:val="24"/>
          <w:szCs w:val="24"/>
        </w:rPr>
      </w:pPr>
      <w:r>
        <w:rPr>
          <w:rFonts w:hint="eastAsia" w:ascii="宋体" w:hAnsi="宋体"/>
          <w:color w:val="auto"/>
          <w:sz w:val="24"/>
          <w:szCs w:val="24"/>
        </w:rPr>
        <w:t xml:space="preserve">                                                      </w:t>
      </w:r>
    </w:p>
    <w:p>
      <w:pPr>
        <w:spacing w:line="360" w:lineRule="auto"/>
        <w:ind w:firstLine="4245" w:firstLineChars="1762"/>
        <w:rPr>
          <w:rFonts w:ascii="宋体" w:hAnsi="宋体"/>
          <w:b/>
          <w:bCs/>
          <w:color w:val="auto"/>
          <w:sz w:val="24"/>
          <w:szCs w:val="24"/>
          <w:u w:val="single"/>
        </w:rPr>
      </w:pPr>
      <w:r>
        <w:rPr>
          <w:rFonts w:hint="eastAsia" w:ascii="宋体" w:hAnsi="宋体"/>
          <w:b/>
          <w:bCs/>
          <w:color w:val="auto"/>
          <w:sz w:val="24"/>
          <w:szCs w:val="24"/>
        </w:rPr>
        <w:t>供应商盖章：</w:t>
      </w:r>
    </w:p>
    <w:p>
      <w:pPr>
        <w:tabs>
          <w:tab w:val="left" w:pos="630"/>
        </w:tabs>
        <w:spacing w:line="360" w:lineRule="auto"/>
        <w:ind w:firstLine="4245" w:firstLineChars="1762"/>
        <w:rPr>
          <w:rFonts w:ascii="宋体" w:hAnsi="宋体"/>
          <w:b/>
          <w:bCs/>
          <w:color w:val="auto"/>
          <w:sz w:val="24"/>
          <w:szCs w:val="24"/>
        </w:rPr>
      </w:pPr>
      <w:r>
        <w:rPr>
          <w:rFonts w:hint="eastAsia" w:ascii="宋体" w:hAnsi="宋体"/>
          <w:b/>
          <w:bCs/>
          <w:color w:val="auto"/>
          <w:sz w:val="24"/>
          <w:szCs w:val="24"/>
        </w:rPr>
        <w:t>日期：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pPr>
        <w:pStyle w:val="10"/>
        <w:spacing w:before="0" w:after="0" w:line="560" w:lineRule="exact"/>
        <w:rPr>
          <w:rFonts w:ascii="宋体" w:hAnsi="宋体" w:eastAsia="宋体" w:cs="宋体"/>
          <w:color w:val="auto"/>
          <w:sz w:val="24"/>
          <w:szCs w:val="24"/>
        </w:rPr>
      </w:pPr>
      <w:bookmarkStart w:id="121" w:name="_Toc5848"/>
      <w:bookmarkStart w:id="122" w:name="_Toc22863"/>
      <w:r>
        <w:rPr>
          <w:rFonts w:hint="eastAsia" w:ascii="宋体" w:hAnsi="宋体" w:eastAsia="宋体" w:cs="宋体"/>
          <w:color w:val="auto"/>
          <w:sz w:val="24"/>
          <w:szCs w:val="24"/>
        </w:rPr>
        <w:t>附件四</w:t>
      </w:r>
      <w:bookmarkEnd w:id="121"/>
      <w:bookmarkEnd w:id="122"/>
    </w:p>
    <w:p>
      <w:pPr>
        <w:pStyle w:val="10"/>
        <w:spacing w:before="0" w:after="0" w:line="560" w:lineRule="exact"/>
        <w:jc w:val="center"/>
        <w:rPr>
          <w:rFonts w:ascii="宋体" w:hAnsi="宋体" w:eastAsia="宋体" w:cs="宋体"/>
          <w:color w:val="auto"/>
          <w:sz w:val="24"/>
          <w:szCs w:val="24"/>
        </w:rPr>
      </w:pPr>
      <w:bookmarkStart w:id="123" w:name="_Toc9758"/>
      <w:bookmarkStart w:id="124" w:name="_Toc30840"/>
      <w:bookmarkStart w:id="125" w:name="_Toc417045478"/>
      <w:r>
        <w:rPr>
          <w:rFonts w:hint="eastAsia" w:ascii="宋体" w:hAnsi="宋体" w:eastAsia="宋体" w:cs="宋体"/>
          <w:color w:val="auto"/>
          <w:sz w:val="24"/>
          <w:szCs w:val="24"/>
        </w:rPr>
        <w:t>谈判响应函</w:t>
      </w:r>
      <w:bookmarkEnd w:id="123"/>
      <w:bookmarkEnd w:id="124"/>
    </w:p>
    <w:p>
      <w:pPr>
        <w:spacing w:line="360" w:lineRule="auto"/>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（供应商的名称）全权处理本项目谈判的有关事宜。</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2、我方愿意按照采购书规定的各项要求，向采购人提供所需的货物服务。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3、一旦我方中标，我方将严格履行合同规定的责任和义务，保证于采购人要求的日期内完成服务，并交付买方验收、使用。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4、如我公司成交，我公司承诺愿意按谈判文件规定缴纳履约保证金。</w:t>
      </w:r>
    </w:p>
    <w:p>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rPr>
        <w:t>5、我方愿意提供贵方可能另外要求的、与谈判有关的文件资料，并保证我方已提供和将要提供的文件是真实的、准确的。</w:t>
      </w:r>
    </w:p>
    <w:p>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rPr>
        <w:t>6、我方完全理解贵方不一定将合同授予最低报价的供应商。</w:t>
      </w:r>
    </w:p>
    <w:p>
      <w:pPr>
        <w:tabs>
          <w:tab w:val="left" w:pos="0"/>
          <w:tab w:val="left" w:pos="840"/>
        </w:tabs>
        <w:spacing w:line="360" w:lineRule="auto"/>
        <w:jc w:val="left"/>
        <w:rPr>
          <w:rFonts w:ascii="宋体" w:hAnsi="宋体"/>
          <w:color w:val="auto"/>
          <w:sz w:val="24"/>
          <w:szCs w:val="24"/>
        </w:rPr>
      </w:pPr>
    </w:p>
    <w:p>
      <w:pPr>
        <w:tabs>
          <w:tab w:val="left" w:pos="0"/>
          <w:tab w:val="left" w:pos="840"/>
        </w:tabs>
        <w:rPr>
          <w:rFonts w:ascii="宋体" w:hAnsi="宋体"/>
          <w:color w:val="auto"/>
          <w:sz w:val="24"/>
          <w:szCs w:val="24"/>
        </w:rPr>
      </w:pPr>
    </w:p>
    <w:p>
      <w:pPr>
        <w:tabs>
          <w:tab w:val="left" w:pos="0"/>
          <w:tab w:val="left" w:pos="840"/>
        </w:tabs>
        <w:rPr>
          <w:rFonts w:ascii="宋体" w:hAnsi="宋体"/>
          <w:color w:val="auto"/>
          <w:sz w:val="24"/>
          <w:szCs w:val="24"/>
        </w:rPr>
      </w:pPr>
    </w:p>
    <w:p>
      <w:pPr>
        <w:tabs>
          <w:tab w:val="left" w:pos="0"/>
          <w:tab w:val="left" w:pos="840"/>
        </w:tabs>
        <w:rPr>
          <w:rFonts w:ascii="宋体" w:hAnsi="宋体"/>
          <w:color w:val="auto"/>
          <w:sz w:val="24"/>
          <w:szCs w:val="24"/>
        </w:rPr>
      </w:pPr>
    </w:p>
    <w:p>
      <w:pPr>
        <w:tabs>
          <w:tab w:val="left" w:pos="0"/>
          <w:tab w:val="left" w:pos="840"/>
        </w:tabs>
        <w:rPr>
          <w:rFonts w:ascii="宋体" w:hAnsi="宋体"/>
          <w:color w:val="auto"/>
          <w:sz w:val="24"/>
          <w:szCs w:val="24"/>
        </w:rPr>
      </w:pPr>
    </w:p>
    <w:p>
      <w:pPr>
        <w:spacing w:line="360" w:lineRule="auto"/>
        <w:ind w:firstLine="4245" w:firstLineChars="1762"/>
        <w:rPr>
          <w:rFonts w:ascii="宋体" w:hAnsi="宋体"/>
          <w:b/>
          <w:bCs/>
          <w:color w:val="auto"/>
          <w:sz w:val="24"/>
          <w:szCs w:val="24"/>
          <w:u w:val="single"/>
        </w:rPr>
      </w:pPr>
      <w:r>
        <w:rPr>
          <w:rFonts w:hint="eastAsia" w:ascii="宋体" w:hAnsi="宋体"/>
          <w:b/>
          <w:bCs/>
          <w:color w:val="auto"/>
          <w:sz w:val="24"/>
          <w:szCs w:val="24"/>
        </w:rPr>
        <w:t>供应商盖章：</w:t>
      </w:r>
    </w:p>
    <w:p>
      <w:pPr>
        <w:tabs>
          <w:tab w:val="left" w:pos="630"/>
        </w:tabs>
        <w:spacing w:line="360" w:lineRule="auto"/>
        <w:ind w:firstLine="4245" w:firstLineChars="1762"/>
        <w:rPr>
          <w:rFonts w:ascii="宋体" w:hAnsi="宋体"/>
          <w:b/>
          <w:bCs/>
          <w:color w:val="auto"/>
          <w:sz w:val="24"/>
          <w:szCs w:val="24"/>
        </w:rPr>
      </w:pPr>
      <w:r>
        <w:rPr>
          <w:rFonts w:hint="eastAsia" w:ascii="宋体" w:hAnsi="宋体"/>
          <w:b/>
          <w:bCs/>
          <w:color w:val="auto"/>
          <w:sz w:val="24"/>
          <w:szCs w:val="24"/>
        </w:rPr>
        <w:t>日期：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pPr>
        <w:pStyle w:val="11"/>
        <w:rPr>
          <w:color w:val="auto"/>
          <w:sz w:val="24"/>
          <w:szCs w:val="24"/>
          <w:lang w:val="en-US"/>
        </w:rPr>
      </w:pPr>
    </w:p>
    <w:p>
      <w:pPr>
        <w:rPr>
          <w:color w:val="auto"/>
        </w:rPr>
      </w:pPr>
    </w:p>
    <w:p>
      <w:pPr>
        <w:rPr>
          <w:color w:val="auto"/>
        </w:rPr>
      </w:pPr>
    </w:p>
    <w:p>
      <w:pPr>
        <w:pStyle w:val="10"/>
        <w:spacing w:before="0" w:after="0" w:line="560" w:lineRule="exact"/>
        <w:rPr>
          <w:rFonts w:ascii="宋体" w:hAnsi="宋体" w:eastAsia="宋体" w:cs="宋体"/>
          <w:color w:val="auto"/>
          <w:sz w:val="24"/>
          <w:szCs w:val="24"/>
        </w:rPr>
      </w:pPr>
      <w:r>
        <w:rPr>
          <w:rFonts w:hint="eastAsia" w:ascii="宋体" w:hAnsi="宋体" w:eastAsia="宋体" w:cs="宋体"/>
          <w:color w:val="auto"/>
          <w:sz w:val="24"/>
          <w:szCs w:val="24"/>
        </w:rPr>
        <w:br w:type="page"/>
      </w:r>
    </w:p>
    <w:p>
      <w:pPr>
        <w:pStyle w:val="10"/>
        <w:spacing w:before="0" w:after="0" w:line="560" w:lineRule="exact"/>
        <w:rPr>
          <w:rFonts w:ascii="宋体" w:hAnsi="宋体" w:eastAsia="宋体" w:cs="宋体"/>
          <w:color w:val="auto"/>
          <w:sz w:val="24"/>
          <w:szCs w:val="24"/>
        </w:rPr>
      </w:pPr>
      <w:bookmarkStart w:id="126" w:name="_Toc1914"/>
      <w:bookmarkStart w:id="127" w:name="_Toc31633"/>
      <w:r>
        <w:rPr>
          <w:rFonts w:hint="eastAsia" w:ascii="宋体" w:hAnsi="宋体" w:eastAsia="宋体" w:cs="宋体"/>
          <w:color w:val="auto"/>
          <w:sz w:val="24"/>
          <w:szCs w:val="24"/>
        </w:rPr>
        <w:t>附件</w:t>
      </w:r>
      <w:bookmarkEnd w:id="125"/>
      <w:r>
        <w:rPr>
          <w:rFonts w:hint="eastAsia" w:ascii="宋体" w:hAnsi="宋体" w:eastAsia="宋体" w:cs="宋体"/>
          <w:color w:val="auto"/>
          <w:sz w:val="24"/>
          <w:szCs w:val="24"/>
        </w:rPr>
        <w:t>五</w:t>
      </w:r>
      <w:bookmarkEnd w:id="126"/>
      <w:bookmarkEnd w:id="127"/>
    </w:p>
    <w:p>
      <w:pPr>
        <w:pStyle w:val="2"/>
        <w:ind w:firstLine="2891" w:firstLineChars="1200"/>
        <w:rPr>
          <w:rFonts w:ascii="宋体" w:hAnsi="宋体" w:cs="宋体"/>
          <w:b/>
          <w:color w:val="auto"/>
          <w:szCs w:val="24"/>
          <w:lang w:val="zh-CN"/>
        </w:rPr>
      </w:pPr>
      <w:bookmarkStart w:id="128" w:name="_Toc363199274"/>
      <w:r>
        <w:rPr>
          <w:rFonts w:hint="eastAsia" w:ascii="宋体" w:hAnsi="宋体" w:cs="宋体"/>
          <w:b/>
          <w:color w:val="auto"/>
          <w:szCs w:val="24"/>
          <w:lang w:val="zh-CN"/>
        </w:rPr>
        <w:t>无重大违法记录声明函</w:t>
      </w:r>
    </w:p>
    <w:p>
      <w:pPr>
        <w:pStyle w:val="2"/>
        <w:ind w:firstLine="480" w:firstLineChars="200"/>
        <w:rPr>
          <w:rFonts w:ascii="宋体" w:hAnsi="宋体"/>
          <w:color w:val="auto"/>
          <w:szCs w:val="24"/>
        </w:rPr>
      </w:pPr>
      <w:bookmarkStart w:id="129" w:name="_Hlk77793969"/>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pPr>
        <w:spacing w:line="360" w:lineRule="auto"/>
        <w:ind w:firstLine="435"/>
        <w:rPr>
          <w:rFonts w:ascii="宋体" w:hAnsi="宋体"/>
          <w:color w:val="auto"/>
          <w:sz w:val="24"/>
          <w:szCs w:val="24"/>
        </w:rPr>
      </w:pPr>
    </w:p>
    <w:p>
      <w:pPr>
        <w:spacing w:line="360" w:lineRule="auto"/>
        <w:ind w:firstLine="5450" w:firstLineChars="2262"/>
        <w:rPr>
          <w:rFonts w:ascii="宋体" w:hAnsi="宋体"/>
          <w:b/>
          <w:color w:val="auto"/>
          <w:sz w:val="24"/>
          <w:szCs w:val="24"/>
          <w:u w:val="single"/>
        </w:rPr>
      </w:pPr>
      <w:r>
        <w:rPr>
          <w:rFonts w:hint="eastAsia" w:ascii="宋体" w:hAnsi="宋体"/>
          <w:b/>
          <w:color w:val="auto"/>
          <w:sz w:val="24"/>
          <w:szCs w:val="24"/>
        </w:rPr>
        <w:t>供应商盖章：</w:t>
      </w:r>
    </w:p>
    <w:p>
      <w:pPr>
        <w:tabs>
          <w:tab w:val="left" w:pos="630"/>
        </w:tabs>
        <w:spacing w:line="360" w:lineRule="auto"/>
        <w:ind w:firstLine="5450" w:firstLineChars="2262"/>
        <w:rPr>
          <w:rFonts w:ascii="宋体" w:hAnsi="宋体"/>
          <w:b/>
          <w:color w:val="auto"/>
          <w:sz w:val="24"/>
          <w:szCs w:val="24"/>
          <w:lang w:val="zh-CN"/>
        </w:rPr>
      </w:pPr>
      <w:r>
        <w:rPr>
          <w:rFonts w:hint="eastAsia" w:ascii="宋体" w:hAnsi="宋体"/>
          <w:b/>
          <w:color w:val="auto"/>
          <w:sz w:val="24"/>
          <w:szCs w:val="24"/>
        </w:rPr>
        <w:t>日期：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bookmarkEnd w:id="129"/>
    <w:p>
      <w:pPr>
        <w:pStyle w:val="2"/>
        <w:ind w:firstLine="210"/>
        <w:rPr>
          <w:color w:val="auto"/>
        </w:rPr>
      </w:pPr>
    </w:p>
    <w:p>
      <w:pPr>
        <w:pStyle w:val="2"/>
        <w:ind w:firstLine="210"/>
        <w:rPr>
          <w:color w:val="auto"/>
        </w:rPr>
      </w:pPr>
    </w:p>
    <w:p>
      <w:pPr>
        <w:tabs>
          <w:tab w:val="left" w:pos="630"/>
        </w:tabs>
        <w:spacing w:after="156" w:afterLines="50" w:line="360" w:lineRule="auto"/>
        <w:ind w:firstLine="3187" w:firstLineChars="1323"/>
        <w:rPr>
          <w:rFonts w:ascii="宋体" w:hAnsi="宋体"/>
          <w:color w:val="auto"/>
          <w:sz w:val="24"/>
          <w:szCs w:val="24"/>
        </w:rPr>
      </w:pPr>
      <w:r>
        <w:rPr>
          <w:rFonts w:hint="eastAsia" w:ascii="宋体" w:hAnsi="宋体"/>
          <w:b/>
          <w:color w:val="auto"/>
          <w:sz w:val="24"/>
          <w:szCs w:val="24"/>
          <w:lang w:val="zh-CN"/>
        </w:rPr>
        <w:t>无不良信用记录承诺函</w:t>
      </w:r>
    </w:p>
    <w:p>
      <w:pPr>
        <w:spacing w:line="360" w:lineRule="auto"/>
        <w:ind w:firstLine="435"/>
        <w:rPr>
          <w:rFonts w:ascii="宋体" w:hAnsi="宋体"/>
          <w:color w:val="auto"/>
          <w:sz w:val="24"/>
          <w:szCs w:val="24"/>
        </w:rPr>
      </w:pPr>
      <w:bookmarkStart w:id="130" w:name="_Hlk77794010"/>
      <w:r>
        <w:rPr>
          <w:rFonts w:hint="eastAsia" w:ascii="宋体" w:hAnsi="宋体"/>
          <w:color w:val="auto"/>
          <w:sz w:val="24"/>
          <w:szCs w:val="24"/>
        </w:rPr>
        <w:t>本公司郑重承诺，我公司无以下不良信用记录情形：</w:t>
      </w:r>
    </w:p>
    <w:p>
      <w:pPr>
        <w:spacing w:line="360" w:lineRule="auto"/>
        <w:ind w:firstLine="435"/>
        <w:rPr>
          <w:rFonts w:ascii="宋体" w:hAnsi="宋体"/>
          <w:color w:val="auto"/>
          <w:sz w:val="24"/>
          <w:szCs w:val="24"/>
        </w:rPr>
      </w:pPr>
      <w:r>
        <w:rPr>
          <w:rFonts w:hint="eastAsia" w:ascii="宋体" w:hAnsi="宋体"/>
          <w:color w:val="auto"/>
          <w:sz w:val="24"/>
          <w:szCs w:val="24"/>
        </w:rPr>
        <w:t>1、公司被人民法院列入失信被执行人；</w:t>
      </w:r>
    </w:p>
    <w:p>
      <w:pPr>
        <w:spacing w:line="360" w:lineRule="auto"/>
        <w:ind w:firstLine="435"/>
        <w:rPr>
          <w:rFonts w:ascii="宋体" w:hAnsi="宋体"/>
          <w:color w:val="auto"/>
          <w:sz w:val="24"/>
          <w:szCs w:val="24"/>
        </w:rPr>
      </w:pPr>
      <w:r>
        <w:rPr>
          <w:rFonts w:hint="eastAsia" w:ascii="宋体" w:hAnsi="宋体"/>
          <w:color w:val="auto"/>
          <w:sz w:val="24"/>
          <w:szCs w:val="24"/>
        </w:rPr>
        <w:t>2、公司被市场监督管理部门列入企业经营异常名录；</w:t>
      </w:r>
    </w:p>
    <w:p>
      <w:pPr>
        <w:spacing w:line="360" w:lineRule="auto"/>
        <w:ind w:firstLine="435"/>
        <w:rPr>
          <w:rFonts w:ascii="宋体" w:hAnsi="宋体"/>
          <w:color w:val="auto"/>
          <w:sz w:val="24"/>
          <w:szCs w:val="24"/>
        </w:rPr>
      </w:pPr>
      <w:r>
        <w:rPr>
          <w:rFonts w:hint="eastAsia" w:ascii="宋体" w:hAnsi="宋体"/>
          <w:color w:val="auto"/>
          <w:sz w:val="24"/>
          <w:szCs w:val="24"/>
        </w:rPr>
        <w:t>3、公司被税务部门列入重大税收违法案件当事人名单的；</w:t>
      </w:r>
    </w:p>
    <w:p>
      <w:pPr>
        <w:spacing w:line="360" w:lineRule="auto"/>
        <w:ind w:firstLine="435"/>
        <w:rPr>
          <w:rFonts w:ascii="宋体" w:hAnsi="宋体"/>
          <w:color w:val="auto"/>
          <w:sz w:val="24"/>
          <w:szCs w:val="24"/>
        </w:rPr>
      </w:pPr>
      <w:r>
        <w:rPr>
          <w:rFonts w:hint="eastAsia" w:ascii="宋体" w:hAnsi="宋体"/>
          <w:color w:val="auto"/>
          <w:sz w:val="24"/>
          <w:szCs w:val="24"/>
        </w:rPr>
        <w:t>4、公司被政府采购监管部门列入政府采购严重违法失信行为记录名单。</w:t>
      </w:r>
    </w:p>
    <w:p>
      <w:pPr>
        <w:spacing w:line="360" w:lineRule="auto"/>
        <w:ind w:firstLine="435"/>
        <w:rPr>
          <w:rFonts w:ascii="宋体" w:hAnsi="宋体" w:cs="宋体"/>
          <w:color w:val="auto"/>
          <w:kern w:val="0"/>
          <w:sz w:val="32"/>
          <w:szCs w:val="32"/>
        </w:rPr>
      </w:pP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color w:val="auto"/>
          <w:sz w:val="24"/>
          <w:szCs w:val="24"/>
        </w:rPr>
      </w:pPr>
    </w:p>
    <w:p>
      <w:pPr>
        <w:spacing w:line="360" w:lineRule="auto"/>
        <w:ind w:firstLine="5450" w:firstLineChars="2262"/>
        <w:rPr>
          <w:rFonts w:ascii="宋体" w:hAnsi="宋体"/>
          <w:b/>
          <w:color w:val="auto"/>
          <w:sz w:val="24"/>
          <w:szCs w:val="24"/>
          <w:u w:val="single"/>
        </w:rPr>
      </w:pPr>
      <w:r>
        <w:rPr>
          <w:rFonts w:hint="eastAsia" w:ascii="宋体" w:hAnsi="宋体"/>
          <w:b/>
          <w:color w:val="auto"/>
          <w:sz w:val="24"/>
          <w:szCs w:val="24"/>
        </w:rPr>
        <w:t>供应商盖章：</w:t>
      </w:r>
    </w:p>
    <w:p>
      <w:pPr>
        <w:tabs>
          <w:tab w:val="left" w:pos="630"/>
        </w:tabs>
        <w:spacing w:line="360" w:lineRule="auto"/>
        <w:ind w:firstLine="5450" w:firstLineChars="2262"/>
        <w:rPr>
          <w:rFonts w:ascii="宋体" w:hAnsi="宋体"/>
          <w:b/>
          <w:color w:val="auto"/>
          <w:sz w:val="24"/>
          <w:szCs w:val="24"/>
          <w:u w:val="single"/>
        </w:rPr>
      </w:pPr>
      <w:r>
        <w:rPr>
          <w:rFonts w:hint="eastAsia" w:ascii="宋体" w:hAnsi="宋体"/>
          <w:b/>
          <w:color w:val="auto"/>
          <w:sz w:val="24"/>
          <w:szCs w:val="24"/>
        </w:rPr>
        <w:t>日期：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bookmarkEnd w:id="130"/>
    <w:p>
      <w:pPr>
        <w:pStyle w:val="10"/>
        <w:spacing w:before="0" w:after="0" w:line="560" w:lineRule="exact"/>
        <w:rPr>
          <w:rFonts w:ascii="宋体" w:hAnsi="宋体" w:eastAsia="宋体" w:cs="宋体"/>
          <w:color w:val="auto"/>
          <w:sz w:val="24"/>
          <w:szCs w:val="24"/>
        </w:rPr>
      </w:pPr>
      <w:r>
        <w:rPr>
          <w:rFonts w:hint="eastAsia" w:ascii="宋体" w:hAnsi="宋体" w:eastAsia="宋体" w:cs="宋体"/>
          <w:color w:val="auto"/>
          <w:sz w:val="24"/>
          <w:szCs w:val="24"/>
        </w:rPr>
        <w:br w:type="page"/>
      </w:r>
    </w:p>
    <w:p>
      <w:pPr>
        <w:pStyle w:val="10"/>
        <w:spacing w:before="0" w:after="0" w:line="560" w:lineRule="exact"/>
        <w:rPr>
          <w:rFonts w:ascii="宋体" w:hAnsi="宋体" w:eastAsia="宋体" w:cs="宋体"/>
          <w:color w:val="auto"/>
          <w:sz w:val="24"/>
          <w:szCs w:val="24"/>
        </w:rPr>
      </w:pPr>
      <w:bookmarkStart w:id="131" w:name="_Toc12486"/>
      <w:bookmarkStart w:id="132" w:name="_Toc4299"/>
      <w:r>
        <w:rPr>
          <w:rFonts w:hint="eastAsia" w:ascii="宋体" w:hAnsi="宋体" w:eastAsia="宋体" w:cs="宋体"/>
          <w:color w:val="auto"/>
          <w:sz w:val="24"/>
          <w:szCs w:val="24"/>
        </w:rPr>
        <w:t>附件</w:t>
      </w:r>
      <w:bookmarkEnd w:id="128"/>
      <w:r>
        <w:rPr>
          <w:rFonts w:hint="eastAsia" w:ascii="宋体" w:hAnsi="宋体" w:eastAsia="宋体" w:cs="宋体"/>
          <w:color w:val="auto"/>
          <w:sz w:val="24"/>
          <w:szCs w:val="24"/>
        </w:rPr>
        <w:t>六</w:t>
      </w:r>
      <w:bookmarkEnd w:id="131"/>
      <w:bookmarkEnd w:id="132"/>
    </w:p>
    <w:p>
      <w:pPr>
        <w:pStyle w:val="10"/>
        <w:spacing w:before="0" w:after="0" w:line="560" w:lineRule="exact"/>
        <w:jc w:val="center"/>
        <w:rPr>
          <w:rFonts w:ascii="宋体" w:hAnsi="宋体" w:eastAsia="宋体" w:cs="宋体"/>
          <w:color w:val="auto"/>
          <w:sz w:val="24"/>
          <w:szCs w:val="24"/>
          <w:lang w:val="zh-CN"/>
        </w:rPr>
      </w:pPr>
      <w:bookmarkStart w:id="133" w:name="_Toc29273"/>
      <w:bookmarkStart w:id="134" w:name="_Toc25238"/>
      <w:bookmarkStart w:id="135" w:name="_Toc12738"/>
      <w:r>
        <w:rPr>
          <w:rFonts w:hint="eastAsia" w:ascii="宋体" w:hAnsi="宋体" w:eastAsia="宋体" w:cs="宋体"/>
          <w:color w:val="auto"/>
          <w:sz w:val="24"/>
          <w:szCs w:val="24"/>
          <w:lang w:val="zh-CN"/>
        </w:rPr>
        <w:t>响应情况表</w:t>
      </w:r>
      <w:bookmarkEnd w:id="133"/>
      <w:bookmarkEnd w:id="134"/>
      <w:bookmarkEnd w:id="135"/>
    </w:p>
    <w:p>
      <w:pPr>
        <w:jc w:val="center"/>
        <w:rPr>
          <w:bCs/>
          <w:color w:val="auto"/>
          <w:sz w:val="24"/>
          <w:szCs w:val="24"/>
          <w:lang w:val="zh-CN"/>
        </w:rPr>
      </w:pPr>
    </w:p>
    <w:tbl>
      <w:tblPr>
        <w:tblStyle w:val="37"/>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jc w:val="center"/>
              <w:rPr>
                <w:rFonts w:ascii="宋体" w:cs="宋体"/>
                <w:b/>
                <w:color w:val="auto"/>
                <w:sz w:val="24"/>
                <w:szCs w:val="21"/>
              </w:rPr>
            </w:pPr>
            <w:bookmarkStart w:id="136" w:name="_Toc471299110"/>
            <w:r>
              <w:rPr>
                <w:rFonts w:hint="eastAsia" w:ascii="宋体" w:hAnsi="宋体" w:cs="宋体"/>
                <w:b/>
                <w:color w:val="auto"/>
                <w:sz w:val="24"/>
                <w:szCs w:val="21"/>
              </w:rPr>
              <w:t>按谈判文件规定填写</w:t>
            </w:r>
          </w:p>
        </w:tc>
        <w:tc>
          <w:tcPr>
            <w:tcW w:w="4200" w:type="dxa"/>
            <w:gridSpan w:val="2"/>
            <w:vAlign w:val="center"/>
          </w:tcPr>
          <w:p>
            <w:pPr>
              <w:jc w:val="center"/>
              <w:rPr>
                <w:rFonts w:ascii="宋体" w:cs="宋体"/>
                <w:b/>
                <w:color w:val="auto"/>
                <w:sz w:val="24"/>
                <w:szCs w:val="21"/>
              </w:rPr>
            </w:pPr>
            <w:r>
              <w:rPr>
                <w:rFonts w:hint="eastAsia" w:ascii="宋体" w:hAnsi="宋体" w:cs="宋体"/>
                <w:b/>
                <w:color w:val="auto"/>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3" w:hRule="atLeast"/>
          <w:jc w:val="center"/>
        </w:trPr>
        <w:tc>
          <w:tcPr>
            <w:tcW w:w="840" w:type="dxa"/>
            <w:vAlign w:val="center"/>
          </w:tcPr>
          <w:p>
            <w:pPr>
              <w:jc w:val="center"/>
              <w:rPr>
                <w:rFonts w:ascii="宋体" w:cs="宋体"/>
                <w:b/>
                <w:color w:val="auto"/>
                <w:sz w:val="24"/>
                <w:szCs w:val="21"/>
              </w:rPr>
            </w:pPr>
            <w:r>
              <w:rPr>
                <w:rFonts w:hint="eastAsia" w:ascii="宋体" w:hAnsi="宋体" w:cs="宋体"/>
                <w:b/>
                <w:color w:val="auto"/>
                <w:sz w:val="24"/>
                <w:szCs w:val="21"/>
              </w:rPr>
              <w:t>序号</w:t>
            </w:r>
          </w:p>
        </w:tc>
        <w:tc>
          <w:tcPr>
            <w:tcW w:w="1794" w:type="dxa"/>
            <w:vAlign w:val="center"/>
          </w:tcPr>
          <w:p>
            <w:pPr>
              <w:jc w:val="center"/>
              <w:rPr>
                <w:rFonts w:ascii="宋体" w:cs="宋体"/>
                <w:b/>
                <w:color w:val="auto"/>
                <w:sz w:val="24"/>
                <w:szCs w:val="21"/>
              </w:rPr>
            </w:pPr>
            <w:r>
              <w:rPr>
                <w:rFonts w:hint="eastAsia" w:ascii="宋体" w:hAnsi="宋体" w:cs="宋体"/>
                <w:b/>
                <w:color w:val="auto"/>
                <w:sz w:val="24"/>
                <w:szCs w:val="21"/>
              </w:rPr>
              <w:t>内容</w:t>
            </w:r>
          </w:p>
        </w:tc>
        <w:tc>
          <w:tcPr>
            <w:tcW w:w="2196" w:type="dxa"/>
            <w:vAlign w:val="center"/>
          </w:tcPr>
          <w:p>
            <w:pPr>
              <w:jc w:val="center"/>
              <w:rPr>
                <w:rFonts w:ascii="宋体" w:cs="宋体"/>
                <w:b/>
                <w:color w:val="auto"/>
                <w:sz w:val="24"/>
                <w:szCs w:val="21"/>
              </w:rPr>
            </w:pPr>
            <w:r>
              <w:rPr>
                <w:rFonts w:hint="eastAsia" w:ascii="宋体" w:hAnsi="宋体" w:cs="宋体"/>
                <w:b/>
                <w:color w:val="auto"/>
                <w:sz w:val="24"/>
                <w:szCs w:val="21"/>
              </w:rPr>
              <w:t>谈判文件要求</w:t>
            </w:r>
          </w:p>
        </w:tc>
        <w:tc>
          <w:tcPr>
            <w:tcW w:w="2222" w:type="dxa"/>
            <w:vAlign w:val="center"/>
          </w:tcPr>
          <w:p>
            <w:pPr>
              <w:jc w:val="center"/>
              <w:rPr>
                <w:rFonts w:ascii="宋体" w:cs="宋体"/>
                <w:b/>
                <w:color w:val="auto"/>
                <w:sz w:val="24"/>
                <w:szCs w:val="21"/>
              </w:rPr>
            </w:pPr>
            <w:r>
              <w:rPr>
                <w:rFonts w:hint="eastAsia" w:ascii="宋体" w:hAnsi="宋体" w:cs="宋体"/>
                <w:b/>
                <w:color w:val="auto"/>
                <w:sz w:val="24"/>
                <w:szCs w:val="21"/>
              </w:rPr>
              <w:t>响应承诺</w:t>
            </w:r>
          </w:p>
        </w:tc>
        <w:tc>
          <w:tcPr>
            <w:tcW w:w="1978" w:type="dxa"/>
            <w:vAlign w:val="center"/>
          </w:tcPr>
          <w:p>
            <w:pPr>
              <w:jc w:val="center"/>
              <w:rPr>
                <w:rFonts w:ascii="宋体" w:cs="宋体"/>
                <w:b/>
                <w:color w:val="auto"/>
                <w:sz w:val="24"/>
                <w:szCs w:val="21"/>
              </w:rPr>
            </w:pPr>
            <w:r>
              <w:rPr>
                <w:rFonts w:hint="eastAsia" w:ascii="宋体" w:hAnsi="宋体" w:cs="宋体"/>
                <w:b/>
                <w:color w:val="auto"/>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color w:val="auto"/>
                <w:sz w:val="24"/>
                <w:szCs w:val="24"/>
              </w:rPr>
            </w:pPr>
            <w:r>
              <w:rPr>
                <w:rFonts w:ascii="宋体" w:hAnsi="宋体" w:cs="宋体"/>
                <w:color w:val="auto"/>
                <w:sz w:val="24"/>
                <w:szCs w:val="24"/>
              </w:rPr>
              <w:t>1</w:t>
            </w:r>
          </w:p>
        </w:tc>
        <w:tc>
          <w:tcPr>
            <w:tcW w:w="1794" w:type="dxa"/>
            <w:vAlign w:val="center"/>
          </w:tcPr>
          <w:p>
            <w:pPr>
              <w:jc w:val="center"/>
              <w:rPr>
                <w:rFonts w:ascii="宋体" w:cs="宋体"/>
                <w:color w:val="auto"/>
                <w:sz w:val="24"/>
                <w:szCs w:val="24"/>
              </w:rPr>
            </w:pPr>
            <w:r>
              <w:rPr>
                <w:rFonts w:hint="eastAsia" w:ascii="宋体" w:hAnsi="宋体"/>
                <w:color w:val="auto"/>
                <w:sz w:val="24"/>
                <w:szCs w:val="28"/>
              </w:rPr>
              <w:t>技术响应</w:t>
            </w:r>
          </w:p>
        </w:tc>
        <w:tc>
          <w:tcPr>
            <w:tcW w:w="2196" w:type="dxa"/>
            <w:vAlign w:val="center"/>
          </w:tcPr>
          <w:p>
            <w:pPr>
              <w:rPr>
                <w:rFonts w:ascii="宋体" w:cs="宋体"/>
                <w:color w:val="auto"/>
                <w:sz w:val="24"/>
                <w:szCs w:val="24"/>
              </w:rPr>
            </w:pPr>
          </w:p>
        </w:tc>
        <w:tc>
          <w:tcPr>
            <w:tcW w:w="2222" w:type="dxa"/>
            <w:vAlign w:val="center"/>
          </w:tcPr>
          <w:p>
            <w:pPr>
              <w:rPr>
                <w:rFonts w:ascii="宋体" w:cs="宋体"/>
                <w:color w:val="auto"/>
                <w:sz w:val="24"/>
                <w:szCs w:val="24"/>
              </w:rPr>
            </w:pPr>
          </w:p>
        </w:tc>
        <w:tc>
          <w:tcPr>
            <w:tcW w:w="1978" w:type="dxa"/>
            <w:vAlign w:val="center"/>
          </w:tcPr>
          <w:p>
            <w:pP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840" w:type="dxa"/>
            <w:vAlign w:val="center"/>
          </w:tcPr>
          <w:p>
            <w:pPr>
              <w:jc w:val="center"/>
              <w:rPr>
                <w:rFonts w:ascii="宋体" w:cs="宋体"/>
                <w:color w:val="auto"/>
                <w:sz w:val="24"/>
                <w:szCs w:val="24"/>
              </w:rPr>
            </w:pPr>
            <w:r>
              <w:rPr>
                <w:rFonts w:ascii="宋体" w:hAnsi="宋体" w:cs="宋体"/>
                <w:color w:val="auto"/>
                <w:sz w:val="24"/>
                <w:szCs w:val="24"/>
              </w:rPr>
              <w:t>2</w:t>
            </w:r>
          </w:p>
        </w:tc>
        <w:tc>
          <w:tcPr>
            <w:tcW w:w="1794" w:type="dxa"/>
            <w:vAlign w:val="center"/>
          </w:tcPr>
          <w:p>
            <w:pPr>
              <w:jc w:val="center"/>
              <w:rPr>
                <w:rFonts w:ascii="宋体" w:cs="宋体"/>
                <w:color w:val="auto"/>
                <w:sz w:val="24"/>
                <w:szCs w:val="24"/>
              </w:rPr>
            </w:pPr>
            <w:r>
              <w:rPr>
                <w:rFonts w:hint="eastAsia" w:ascii="宋体" w:hAnsi="宋体"/>
                <w:color w:val="auto"/>
                <w:sz w:val="24"/>
                <w:szCs w:val="28"/>
              </w:rPr>
              <w:t>付款响应</w:t>
            </w:r>
          </w:p>
        </w:tc>
        <w:tc>
          <w:tcPr>
            <w:tcW w:w="2196" w:type="dxa"/>
            <w:vAlign w:val="center"/>
          </w:tcPr>
          <w:p>
            <w:pPr>
              <w:rPr>
                <w:rFonts w:ascii="宋体" w:cs="宋体"/>
                <w:color w:val="auto"/>
                <w:sz w:val="24"/>
                <w:szCs w:val="24"/>
              </w:rPr>
            </w:pPr>
          </w:p>
        </w:tc>
        <w:tc>
          <w:tcPr>
            <w:tcW w:w="2222" w:type="dxa"/>
            <w:vAlign w:val="center"/>
          </w:tcPr>
          <w:p>
            <w:pPr>
              <w:rPr>
                <w:rFonts w:ascii="宋体" w:cs="宋体"/>
                <w:color w:val="auto"/>
                <w:sz w:val="24"/>
                <w:szCs w:val="24"/>
              </w:rPr>
            </w:pPr>
          </w:p>
        </w:tc>
        <w:tc>
          <w:tcPr>
            <w:tcW w:w="1978" w:type="dxa"/>
            <w:vAlign w:val="center"/>
          </w:tcPr>
          <w:p>
            <w:pP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ascii="宋体" w:cs="宋体"/>
                <w:color w:val="auto"/>
                <w:sz w:val="24"/>
                <w:szCs w:val="24"/>
              </w:rPr>
            </w:pPr>
            <w:r>
              <w:rPr>
                <w:rFonts w:ascii="宋体" w:hAnsi="宋体" w:cs="宋体"/>
                <w:color w:val="auto"/>
                <w:sz w:val="24"/>
                <w:szCs w:val="24"/>
              </w:rPr>
              <w:t>3</w:t>
            </w:r>
          </w:p>
        </w:tc>
        <w:tc>
          <w:tcPr>
            <w:tcW w:w="1794" w:type="dxa"/>
            <w:vAlign w:val="center"/>
          </w:tcPr>
          <w:p>
            <w:pPr>
              <w:jc w:val="center"/>
              <w:rPr>
                <w:rFonts w:ascii="宋体" w:cs="宋体"/>
                <w:color w:val="auto"/>
                <w:sz w:val="24"/>
                <w:szCs w:val="24"/>
              </w:rPr>
            </w:pPr>
            <w:r>
              <w:rPr>
                <w:rFonts w:hint="eastAsia" w:ascii="宋体" w:hAnsi="宋体"/>
                <w:color w:val="auto"/>
                <w:sz w:val="24"/>
                <w:szCs w:val="28"/>
              </w:rPr>
              <w:t>服务期响应</w:t>
            </w:r>
          </w:p>
        </w:tc>
        <w:tc>
          <w:tcPr>
            <w:tcW w:w="2196" w:type="dxa"/>
            <w:vAlign w:val="center"/>
          </w:tcPr>
          <w:p>
            <w:pPr>
              <w:rPr>
                <w:rFonts w:ascii="宋体" w:cs="宋体"/>
                <w:color w:val="auto"/>
                <w:sz w:val="24"/>
                <w:szCs w:val="24"/>
              </w:rPr>
            </w:pPr>
          </w:p>
        </w:tc>
        <w:tc>
          <w:tcPr>
            <w:tcW w:w="2222" w:type="dxa"/>
            <w:vAlign w:val="center"/>
          </w:tcPr>
          <w:p>
            <w:pPr>
              <w:rPr>
                <w:rFonts w:ascii="宋体" w:cs="宋体"/>
                <w:color w:val="auto"/>
                <w:sz w:val="24"/>
                <w:szCs w:val="24"/>
              </w:rPr>
            </w:pPr>
          </w:p>
        </w:tc>
        <w:tc>
          <w:tcPr>
            <w:tcW w:w="1978" w:type="dxa"/>
            <w:vAlign w:val="center"/>
          </w:tcPr>
          <w:p>
            <w:pP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840" w:type="dxa"/>
            <w:vAlign w:val="center"/>
          </w:tcPr>
          <w:p>
            <w:pPr>
              <w:jc w:val="center"/>
              <w:rPr>
                <w:rFonts w:ascii="宋体" w:cs="宋体"/>
                <w:color w:val="auto"/>
                <w:sz w:val="24"/>
                <w:szCs w:val="24"/>
              </w:rPr>
            </w:pPr>
            <w:r>
              <w:rPr>
                <w:rFonts w:hint="eastAsia" w:ascii="宋体" w:cs="宋体"/>
                <w:color w:val="auto"/>
                <w:sz w:val="24"/>
                <w:szCs w:val="24"/>
              </w:rPr>
              <w:t>4</w:t>
            </w:r>
          </w:p>
        </w:tc>
        <w:tc>
          <w:tcPr>
            <w:tcW w:w="1794" w:type="dxa"/>
            <w:vAlign w:val="center"/>
          </w:tcPr>
          <w:p>
            <w:pPr>
              <w:jc w:val="center"/>
              <w:rPr>
                <w:rFonts w:ascii="宋体" w:cs="宋体"/>
                <w:color w:val="auto"/>
                <w:sz w:val="24"/>
                <w:szCs w:val="24"/>
              </w:rPr>
            </w:pPr>
            <w:r>
              <w:rPr>
                <w:rFonts w:hint="eastAsia" w:ascii="宋体" w:hAnsi="宋体" w:cs="宋体"/>
                <w:color w:val="auto"/>
                <w:sz w:val="24"/>
                <w:szCs w:val="24"/>
              </w:rPr>
              <w:t>其他</w:t>
            </w:r>
          </w:p>
        </w:tc>
        <w:tc>
          <w:tcPr>
            <w:tcW w:w="2196" w:type="dxa"/>
            <w:vAlign w:val="center"/>
          </w:tcPr>
          <w:p>
            <w:pPr>
              <w:rPr>
                <w:rFonts w:ascii="宋体" w:cs="宋体"/>
                <w:color w:val="auto"/>
                <w:sz w:val="24"/>
                <w:szCs w:val="24"/>
              </w:rPr>
            </w:pPr>
          </w:p>
        </w:tc>
        <w:tc>
          <w:tcPr>
            <w:tcW w:w="2222" w:type="dxa"/>
            <w:vAlign w:val="center"/>
          </w:tcPr>
          <w:p>
            <w:pPr>
              <w:rPr>
                <w:rFonts w:ascii="宋体" w:cs="宋体"/>
                <w:color w:val="auto"/>
                <w:sz w:val="24"/>
                <w:szCs w:val="24"/>
              </w:rPr>
            </w:pPr>
          </w:p>
        </w:tc>
        <w:tc>
          <w:tcPr>
            <w:tcW w:w="1978" w:type="dxa"/>
            <w:vAlign w:val="center"/>
          </w:tcPr>
          <w:p>
            <w:pPr>
              <w:rPr>
                <w:rFonts w:ascii="宋体" w:cs="宋体"/>
                <w:color w:val="auto"/>
                <w:sz w:val="24"/>
                <w:szCs w:val="24"/>
              </w:rPr>
            </w:pPr>
          </w:p>
        </w:tc>
      </w:tr>
    </w:tbl>
    <w:p>
      <w:pPr>
        <w:spacing w:after="312" w:afterLines="100" w:line="520" w:lineRule="exact"/>
        <w:ind w:firstLine="481" w:firstLineChars="200"/>
        <w:rPr>
          <w:rFonts w:ascii="宋体" w:hAnsi="宋体"/>
          <w:color w:val="auto"/>
          <w:sz w:val="24"/>
          <w:szCs w:val="28"/>
        </w:rPr>
      </w:pPr>
      <w:r>
        <w:rPr>
          <w:rFonts w:hint="eastAsia" w:ascii="宋体" w:hAnsi="宋体" w:cs="宋体"/>
          <w:b/>
          <w:color w:val="auto"/>
          <w:sz w:val="24"/>
          <w:szCs w:val="24"/>
        </w:rPr>
        <w:t>注：</w:t>
      </w:r>
      <w:r>
        <w:rPr>
          <w:rFonts w:hint="eastAsia" w:ascii="宋体" w:hAnsi="宋体"/>
          <w:color w:val="auto"/>
          <w:sz w:val="24"/>
          <w:szCs w:val="28"/>
        </w:rPr>
        <w:t>提供的服务满足采购需求；付款及服务期等均应响应谈判文件要求。</w:t>
      </w:r>
    </w:p>
    <w:p>
      <w:pPr>
        <w:spacing w:after="312" w:afterLines="100" w:line="520" w:lineRule="exact"/>
        <w:rPr>
          <w:rFonts w:ascii="宋体" w:hAnsi="宋体"/>
          <w:color w:val="auto"/>
          <w:sz w:val="24"/>
          <w:szCs w:val="28"/>
        </w:rPr>
      </w:pPr>
    </w:p>
    <w:p>
      <w:pPr>
        <w:rPr>
          <w:rFonts w:ascii="宋体" w:hAnsi="宋体"/>
          <w:color w:val="auto"/>
          <w:sz w:val="24"/>
          <w:szCs w:val="24"/>
        </w:rPr>
      </w:pPr>
    </w:p>
    <w:p>
      <w:pPr>
        <w:rPr>
          <w:rFonts w:ascii="宋体" w:hAnsi="宋体"/>
          <w:color w:val="auto"/>
          <w:sz w:val="24"/>
          <w:szCs w:val="24"/>
        </w:rPr>
      </w:pPr>
    </w:p>
    <w:p>
      <w:pPr>
        <w:spacing w:line="360" w:lineRule="auto"/>
        <w:ind w:right="480"/>
        <w:jc w:val="center"/>
        <w:rPr>
          <w:rFonts w:ascii="宋体" w:hAnsi="宋体"/>
          <w:b/>
          <w:bCs/>
          <w:color w:val="auto"/>
          <w:sz w:val="24"/>
          <w:szCs w:val="24"/>
        </w:rPr>
      </w:pPr>
      <w:r>
        <w:rPr>
          <w:rFonts w:hint="eastAsia" w:ascii="宋体" w:hAnsi="宋体"/>
          <w:b/>
          <w:bCs/>
          <w:color w:val="auto"/>
          <w:sz w:val="24"/>
          <w:szCs w:val="24"/>
        </w:rPr>
        <w:t xml:space="preserve">                              供应商盖章：</w:t>
      </w:r>
    </w:p>
    <w:p>
      <w:pPr>
        <w:ind w:firstLine="4336" w:firstLineChars="1800"/>
        <w:jc w:val="center"/>
        <w:rPr>
          <w:rFonts w:ascii="宋体" w:hAnsi="宋体"/>
          <w:b/>
          <w:bCs/>
          <w:color w:val="auto"/>
          <w:sz w:val="24"/>
          <w:szCs w:val="24"/>
        </w:rPr>
      </w:pPr>
      <w:r>
        <w:rPr>
          <w:rFonts w:hint="eastAsia" w:ascii="宋体" w:hAnsi="宋体"/>
          <w:b/>
          <w:bCs/>
          <w:color w:val="auto"/>
          <w:sz w:val="24"/>
          <w:szCs w:val="24"/>
        </w:rPr>
        <w:t xml:space="preserve">  日期：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pPr>
        <w:pStyle w:val="11"/>
        <w:spacing w:before="0" w:after="0"/>
        <w:rPr>
          <w:color w:val="auto"/>
          <w:sz w:val="24"/>
          <w:szCs w:val="24"/>
        </w:rPr>
      </w:pPr>
      <w:r>
        <w:rPr>
          <w:rFonts w:hint="eastAsia"/>
          <w:color w:val="auto"/>
          <w:sz w:val="24"/>
          <w:szCs w:val="24"/>
        </w:rPr>
        <w:br w:type="page"/>
      </w:r>
    </w:p>
    <w:p>
      <w:pPr>
        <w:spacing w:line="500" w:lineRule="exact"/>
        <w:rPr>
          <w:rFonts w:ascii="宋体" w:hAnsi="宋体" w:cs="宋体"/>
          <w:b/>
          <w:color w:val="auto"/>
          <w:kern w:val="0"/>
          <w:sz w:val="24"/>
          <w:szCs w:val="24"/>
        </w:rPr>
      </w:pPr>
      <w:bookmarkStart w:id="137" w:name="_Toc19848"/>
      <w:r>
        <w:rPr>
          <w:rFonts w:hint="eastAsia" w:ascii="宋体" w:hAnsi="宋体" w:cs="宋体"/>
          <w:b/>
          <w:color w:val="auto"/>
          <w:kern w:val="0"/>
          <w:sz w:val="24"/>
          <w:szCs w:val="24"/>
        </w:rPr>
        <w:t>附件</w:t>
      </w:r>
      <w:bookmarkEnd w:id="136"/>
      <w:r>
        <w:rPr>
          <w:rFonts w:hint="eastAsia" w:ascii="宋体" w:hAnsi="宋体" w:cs="宋体"/>
          <w:b/>
          <w:color w:val="auto"/>
          <w:kern w:val="0"/>
          <w:sz w:val="24"/>
          <w:szCs w:val="24"/>
        </w:rPr>
        <w:t>七</w:t>
      </w:r>
      <w:bookmarkEnd w:id="137"/>
    </w:p>
    <w:p>
      <w:pPr>
        <w:pStyle w:val="10"/>
        <w:spacing w:before="0" w:after="0" w:line="560" w:lineRule="exact"/>
        <w:jc w:val="center"/>
        <w:rPr>
          <w:rFonts w:ascii="宋体" w:hAnsi="宋体" w:eastAsia="宋体" w:cs="宋体"/>
          <w:color w:val="auto"/>
          <w:sz w:val="24"/>
          <w:szCs w:val="24"/>
        </w:rPr>
      </w:pPr>
      <w:bookmarkStart w:id="138" w:name="_Toc18625"/>
      <w:bookmarkStart w:id="139" w:name="_Toc29690"/>
      <w:bookmarkStart w:id="140" w:name="_Toc26531"/>
      <w:r>
        <w:rPr>
          <w:rFonts w:hint="eastAsia" w:ascii="宋体" w:hAnsi="宋体" w:eastAsia="宋体" w:cs="宋体"/>
          <w:color w:val="auto"/>
          <w:sz w:val="24"/>
          <w:szCs w:val="24"/>
        </w:rPr>
        <w:t>相关服务承诺函</w:t>
      </w:r>
      <w:bookmarkEnd w:id="138"/>
      <w:bookmarkEnd w:id="139"/>
      <w:bookmarkEnd w:id="140"/>
    </w:p>
    <w:p>
      <w:pPr>
        <w:jc w:val="center"/>
        <w:rPr>
          <w:rFonts w:ascii="宋体" w:hAnsi="宋体"/>
          <w:color w:val="auto"/>
          <w:sz w:val="24"/>
          <w:szCs w:val="28"/>
        </w:rPr>
      </w:pPr>
    </w:p>
    <w:p>
      <w:pPr>
        <w:jc w:val="center"/>
        <w:rPr>
          <w:rFonts w:ascii="宋体" w:hAnsi="宋体"/>
          <w:color w:val="auto"/>
          <w:sz w:val="24"/>
          <w:szCs w:val="28"/>
        </w:rPr>
      </w:pPr>
      <w:r>
        <w:rPr>
          <w:rFonts w:hint="eastAsia" w:ascii="宋体" w:hAnsi="宋体"/>
          <w:color w:val="auto"/>
          <w:sz w:val="24"/>
          <w:szCs w:val="28"/>
        </w:rPr>
        <w:t>(供应商可自行制作格式)</w:t>
      </w:r>
    </w:p>
    <w:p>
      <w:pPr>
        <w:rPr>
          <w:color w:val="auto"/>
        </w:rPr>
      </w:pPr>
    </w:p>
    <w:p>
      <w:pPr>
        <w:pStyle w:val="10"/>
        <w:spacing w:before="120" w:after="120"/>
        <w:rPr>
          <w:rFonts w:hint="eastAsia" w:ascii="宋体" w:hAnsi="宋体" w:eastAsia="宋体" w:cs="宋体"/>
          <w:bCs/>
          <w:color w:val="auto"/>
          <w:sz w:val="24"/>
          <w:szCs w:val="24"/>
          <w:lang w:val="en-US" w:eastAsia="zh-CN"/>
        </w:rPr>
      </w:pPr>
      <w:bookmarkStart w:id="141" w:name="_Toc2879"/>
      <w:bookmarkStart w:id="142" w:name="_Toc3796"/>
      <w:bookmarkStart w:id="143" w:name="_Toc13577"/>
      <w:bookmarkStart w:id="144" w:name="_Toc7736"/>
      <w:r>
        <w:rPr>
          <w:rFonts w:hint="eastAsia" w:ascii="宋体" w:hAnsi="宋体" w:eastAsia="宋体" w:cs="宋体"/>
          <w:color w:val="auto"/>
          <w:sz w:val="24"/>
          <w:szCs w:val="24"/>
        </w:rPr>
        <w:t>附件</w:t>
      </w:r>
      <w:bookmarkEnd w:id="141"/>
      <w:bookmarkEnd w:id="142"/>
      <w:bookmarkEnd w:id="143"/>
      <w:bookmarkStart w:id="145" w:name="_Toc13301"/>
      <w:r>
        <w:rPr>
          <w:rFonts w:hint="eastAsia" w:ascii="宋体" w:hAnsi="宋体" w:eastAsia="宋体" w:cs="宋体"/>
          <w:color w:val="auto"/>
          <w:sz w:val="24"/>
          <w:szCs w:val="24"/>
          <w:lang w:val="en-US" w:eastAsia="zh-CN"/>
        </w:rPr>
        <w:t>八</w:t>
      </w:r>
      <w:bookmarkEnd w:id="144"/>
    </w:p>
    <w:bookmarkEnd w:id="145"/>
    <w:p>
      <w:pPr>
        <w:rPr>
          <w:color w:val="auto"/>
        </w:rPr>
      </w:pPr>
    </w:p>
    <w:p>
      <w:pPr>
        <w:pStyle w:val="10"/>
        <w:spacing w:before="0" w:after="0" w:line="560" w:lineRule="exact"/>
        <w:jc w:val="center"/>
        <w:rPr>
          <w:rFonts w:ascii="宋体" w:hAnsi="宋体" w:eastAsia="宋体" w:cs="宋体"/>
          <w:b w:val="0"/>
          <w:bCs/>
          <w:color w:val="auto"/>
          <w:sz w:val="24"/>
          <w:szCs w:val="24"/>
        </w:rPr>
      </w:pPr>
      <w:bookmarkStart w:id="146" w:name="_Toc28453"/>
      <w:bookmarkStart w:id="147" w:name="_Toc28850"/>
      <w:bookmarkStart w:id="148" w:name="_Toc19344"/>
      <w:r>
        <w:rPr>
          <w:rFonts w:hint="eastAsia" w:ascii="宋体" w:hAnsi="宋体" w:eastAsia="宋体" w:cs="宋体"/>
          <w:b w:val="0"/>
          <w:bCs/>
          <w:color w:val="auto"/>
          <w:sz w:val="24"/>
          <w:szCs w:val="24"/>
        </w:rPr>
        <w:t>谈判文件要求和供应商认为需要提供的其它说明和资料</w:t>
      </w:r>
      <w:bookmarkEnd w:id="146"/>
      <w:bookmarkEnd w:id="147"/>
      <w:bookmarkEnd w:id="148"/>
    </w:p>
    <w:p>
      <w:pPr>
        <w:rPr>
          <w:rFonts w:ascii="宋体" w:hAnsi="宋体" w:cs="宋体"/>
          <w:b/>
          <w:color w:val="auto"/>
          <w:kern w:val="0"/>
          <w:sz w:val="24"/>
          <w:szCs w:val="24"/>
        </w:rPr>
      </w:pPr>
    </w:p>
    <w:p>
      <w:pPr>
        <w:rPr>
          <w:rFonts w:ascii="宋体" w:hAnsi="宋体" w:cs="宋体"/>
          <w:b/>
          <w:color w:val="auto"/>
          <w:kern w:val="0"/>
          <w:sz w:val="24"/>
          <w:szCs w:val="24"/>
        </w:rPr>
      </w:pPr>
    </w:p>
    <w:p>
      <w:pPr>
        <w:rPr>
          <w:rFonts w:ascii="宋体" w:hAnsi="宋体" w:cs="宋体"/>
          <w:b/>
          <w:color w:val="auto"/>
          <w:kern w:val="0"/>
          <w:sz w:val="24"/>
          <w:szCs w:val="24"/>
        </w:rPr>
      </w:pPr>
    </w:p>
    <w:p>
      <w:pPr>
        <w:rPr>
          <w:rFonts w:ascii="宋体" w:hAnsi="宋体" w:cs="宋体"/>
          <w:b/>
          <w:color w:val="auto"/>
          <w:kern w:val="0"/>
          <w:sz w:val="24"/>
          <w:szCs w:val="24"/>
        </w:rPr>
      </w:pPr>
    </w:p>
    <w:p>
      <w:pPr>
        <w:rPr>
          <w:rFonts w:ascii="宋体" w:hAnsi="宋体" w:cs="宋体"/>
          <w:color w:val="auto"/>
          <w:sz w:val="24"/>
          <w:szCs w:val="24"/>
        </w:rPr>
      </w:pPr>
      <w:r>
        <w:rPr>
          <w:rFonts w:hint="eastAsia" w:ascii="宋体" w:hAnsi="宋体" w:cs="宋体"/>
          <w:b/>
          <w:color w:val="auto"/>
          <w:kern w:val="0"/>
          <w:sz w:val="24"/>
          <w:szCs w:val="24"/>
        </w:rPr>
        <w:t>附件</w:t>
      </w:r>
      <w:r>
        <w:rPr>
          <w:rFonts w:hint="eastAsia" w:ascii="宋体" w:hAnsi="宋体" w:cs="宋体"/>
          <w:b/>
          <w:color w:val="auto"/>
          <w:kern w:val="0"/>
          <w:sz w:val="24"/>
          <w:szCs w:val="24"/>
          <w:lang w:val="en-US" w:eastAsia="zh-CN"/>
        </w:rPr>
        <w:t>九</w:t>
      </w:r>
      <w:r>
        <w:rPr>
          <w:rFonts w:hint="eastAsia" w:ascii="宋体" w:hAnsi="宋体" w:cs="宋体"/>
          <w:b/>
          <w:color w:val="auto"/>
          <w:kern w:val="0"/>
          <w:sz w:val="24"/>
          <w:szCs w:val="24"/>
        </w:rPr>
        <w:t xml:space="preserve"> </w:t>
      </w:r>
      <w:r>
        <w:rPr>
          <w:rFonts w:hint="eastAsia" w:ascii="宋体" w:hAnsi="宋体" w:cs="宋体"/>
          <w:color w:val="auto"/>
          <w:sz w:val="24"/>
          <w:szCs w:val="24"/>
        </w:rPr>
        <w:t xml:space="preserve">                   </w:t>
      </w:r>
    </w:p>
    <w:p>
      <w:pPr>
        <w:jc w:val="center"/>
        <w:rPr>
          <w:rFonts w:ascii="宋体" w:hAnsi="宋体" w:cs="宋体"/>
          <w:color w:val="auto"/>
          <w:sz w:val="24"/>
          <w:szCs w:val="24"/>
        </w:rPr>
      </w:pPr>
      <w:r>
        <w:rPr>
          <w:rFonts w:hint="eastAsia" w:ascii="宋体" w:hAnsi="宋体" w:cs="宋体"/>
          <w:b/>
          <w:color w:val="auto"/>
          <w:kern w:val="0"/>
          <w:sz w:val="24"/>
          <w:szCs w:val="24"/>
        </w:rPr>
        <w:t>二轮报价表</w:t>
      </w:r>
    </w:p>
    <w:p>
      <w:pPr>
        <w:jc w:val="center"/>
        <w:rPr>
          <w:rFonts w:ascii="宋体" w:hAnsi="宋体" w:cs="宋体"/>
          <w:b/>
          <w:color w:val="auto"/>
          <w:sz w:val="30"/>
          <w:szCs w:val="30"/>
          <w:u w:val="single"/>
        </w:rPr>
      </w:pPr>
    </w:p>
    <w:p>
      <w:pPr>
        <w:jc w:val="center"/>
        <w:rPr>
          <w:rFonts w:ascii="宋体" w:hAnsi="宋体" w:cs="宋体"/>
          <w:b/>
          <w:color w:val="auto"/>
          <w:sz w:val="30"/>
          <w:szCs w:val="30"/>
        </w:rPr>
      </w:pPr>
      <w:r>
        <w:rPr>
          <w:rFonts w:hint="eastAsia" w:ascii="宋体" w:hAnsi="宋体" w:cs="宋体"/>
          <w:b/>
          <w:color w:val="auto"/>
          <w:sz w:val="30"/>
          <w:szCs w:val="30"/>
          <w:u w:val="single"/>
        </w:rPr>
        <w:t xml:space="preserve">    （项目名称）        </w:t>
      </w:r>
      <w:bookmarkStart w:id="149" w:name="_Toc534711850"/>
      <w:r>
        <w:rPr>
          <w:rFonts w:hint="eastAsia" w:ascii="宋体" w:hAnsi="宋体" w:cs="宋体"/>
          <w:b/>
          <w:color w:val="auto"/>
          <w:sz w:val="30"/>
          <w:szCs w:val="30"/>
        </w:rPr>
        <w:t>二轮报价表</w:t>
      </w:r>
      <w:bookmarkEnd w:id="149"/>
    </w:p>
    <w:p>
      <w:pPr>
        <w:ind w:firstLine="480" w:firstLineChars="200"/>
        <w:rPr>
          <w:rFonts w:ascii="宋体" w:hAnsi="宋体" w:cs="宋体"/>
          <w:color w:val="auto"/>
          <w:sz w:val="24"/>
        </w:rPr>
      </w:pPr>
    </w:p>
    <w:p>
      <w:pPr>
        <w:spacing w:line="640" w:lineRule="exact"/>
        <w:rPr>
          <w:rFonts w:ascii="宋体" w:hAnsi="宋体" w:cs="宋体"/>
          <w:color w:val="auto"/>
          <w:sz w:val="28"/>
          <w:szCs w:val="28"/>
        </w:rPr>
      </w:pPr>
      <w:r>
        <w:rPr>
          <w:rFonts w:hint="eastAsia" w:ascii="宋体" w:hAnsi="宋体" w:cs="宋体"/>
          <w:color w:val="auto"/>
          <w:sz w:val="28"/>
          <w:szCs w:val="28"/>
        </w:rPr>
        <w:t>致：</w:t>
      </w:r>
      <w:r>
        <w:rPr>
          <w:rFonts w:hint="eastAsia" w:ascii="宋体" w:hAnsi="宋体" w:cs="宋体"/>
          <w:color w:val="auto"/>
          <w:sz w:val="28"/>
          <w:szCs w:val="28"/>
          <w:u w:val="single"/>
        </w:rPr>
        <w:t>采购人、采购代理机构（名称）</w:t>
      </w:r>
    </w:p>
    <w:p>
      <w:pPr>
        <w:spacing w:line="640" w:lineRule="exact"/>
        <w:ind w:firstLine="560" w:firstLineChars="200"/>
        <w:rPr>
          <w:rFonts w:ascii="宋体" w:hAnsi="宋体" w:cs="宋体"/>
          <w:color w:val="auto"/>
          <w:sz w:val="28"/>
          <w:szCs w:val="28"/>
        </w:rPr>
      </w:pPr>
      <w:r>
        <w:rPr>
          <w:rFonts w:hint="eastAsia" w:ascii="宋体" w:hAnsi="宋体" w:cs="宋体"/>
          <w:color w:val="auto"/>
          <w:sz w:val="28"/>
          <w:szCs w:val="28"/>
        </w:rPr>
        <w:t>1、我方愿在第一轮（响应文件）响应报价的基础上再次让利，让利后总报价为</w:t>
      </w:r>
      <w:r>
        <w:rPr>
          <w:rFonts w:hint="eastAsia" w:ascii="宋体" w:hAnsi="宋体" w:cs="宋体"/>
          <w:color w:val="auto"/>
          <w:sz w:val="28"/>
          <w:szCs w:val="28"/>
          <w:u w:val="single"/>
        </w:rPr>
        <w:t xml:space="preserve">         （大写）         （小写），</w:t>
      </w:r>
      <w:r>
        <w:rPr>
          <w:rFonts w:hint="eastAsia" w:ascii="宋体" w:hAnsi="宋体" w:cs="宋体"/>
          <w:color w:val="auto"/>
          <w:sz w:val="28"/>
          <w:szCs w:val="28"/>
        </w:rPr>
        <w:t>各分项报价按照第一次报价同比例下浮。上述报价包含完成本项目范围内工作内容的全部费用，该费用后期服务过程中不再调整。</w:t>
      </w:r>
    </w:p>
    <w:p>
      <w:pPr>
        <w:spacing w:line="640" w:lineRule="exact"/>
        <w:ind w:firstLine="560" w:firstLineChars="200"/>
        <w:rPr>
          <w:rFonts w:ascii="宋体" w:hAnsi="宋体" w:cs="宋体"/>
          <w:color w:val="auto"/>
          <w:sz w:val="28"/>
          <w:szCs w:val="28"/>
        </w:rPr>
      </w:pPr>
      <w:r>
        <w:rPr>
          <w:rFonts w:hint="eastAsia" w:ascii="宋体" w:hAnsi="宋体" w:cs="宋体"/>
          <w:color w:val="auto"/>
          <w:sz w:val="28"/>
          <w:szCs w:val="28"/>
        </w:rPr>
        <w:t>2、其他部分与响应文件内容一致。</w:t>
      </w:r>
    </w:p>
    <w:p>
      <w:pPr>
        <w:spacing w:line="640" w:lineRule="exact"/>
        <w:ind w:firstLine="560" w:firstLineChars="200"/>
        <w:jc w:val="right"/>
        <w:rPr>
          <w:rFonts w:ascii="宋体" w:hAnsi="宋体" w:cs="宋体"/>
          <w:color w:val="auto"/>
          <w:sz w:val="28"/>
          <w:szCs w:val="28"/>
        </w:rPr>
      </w:pPr>
    </w:p>
    <w:p>
      <w:pPr>
        <w:spacing w:line="640" w:lineRule="exact"/>
        <w:ind w:firstLine="560" w:firstLineChars="200"/>
        <w:jc w:val="right"/>
        <w:rPr>
          <w:rFonts w:ascii="宋体" w:hAnsi="宋体" w:cs="宋体"/>
          <w:color w:val="auto"/>
          <w:sz w:val="28"/>
          <w:szCs w:val="28"/>
        </w:rPr>
      </w:pPr>
      <w:r>
        <w:rPr>
          <w:rFonts w:hint="eastAsia" w:ascii="宋体" w:hAnsi="宋体" w:cs="宋体"/>
          <w:color w:val="auto"/>
          <w:sz w:val="28"/>
          <w:szCs w:val="28"/>
        </w:rPr>
        <w:t>供应商：</w:t>
      </w:r>
      <w:r>
        <w:rPr>
          <w:rFonts w:hint="eastAsia" w:ascii="宋体" w:hAnsi="宋体" w:cs="宋体"/>
          <w:color w:val="auto"/>
          <w:sz w:val="28"/>
          <w:szCs w:val="28"/>
          <w:u w:val="single"/>
        </w:rPr>
        <w:t xml:space="preserve">          </w:t>
      </w:r>
      <w:r>
        <w:rPr>
          <w:rFonts w:hint="eastAsia" w:ascii="宋体" w:hAnsi="宋体" w:cs="宋体"/>
          <w:color w:val="auto"/>
          <w:sz w:val="28"/>
          <w:szCs w:val="28"/>
        </w:rPr>
        <w:t>（盖公章）</w:t>
      </w:r>
    </w:p>
    <w:p>
      <w:pPr>
        <w:spacing w:line="640" w:lineRule="exact"/>
        <w:ind w:firstLine="560" w:firstLineChars="200"/>
        <w:jc w:val="right"/>
        <w:rPr>
          <w:rFonts w:ascii="宋体" w:hAnsi="宋体" w:cs="宋体"/>
          <w:color w:val="auto"/>
          <w:sz w:val="28"/>
          <w:szCs w:val="28"/>
        </w:rPr>
      </w:pPr>
      <w:r>
        <w:rPr>
          <w:rFonts w:hint="eastAsia" w:ascii="宋体" w:hAnsi="宋体" w:cs="宋体"/>
          <w:color w:val="auto"/>
          <w:sz w:val="28"/>
          <w:szCs w:val="28"/>
        </w:rPr>
        <w:t>法定代表人或其委托代理人：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wordWrap w:val="0"/>
        <w:spacing w:line="640" w:lineRule="exact"/>
        <w:ind w:firstLine="560" w:firstLineChars="200"/>
        <w:jc w:val="right"/>
        <w:rPr>
          <w:rFonts w:hAnsi="宋体" w:cs="宋体"/>
          <w:color w:val="auto"/>
          <w:sz w:val="24"/>
          <w:szCs w:val="32"/>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汉仪仿宋S"/>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DotumChe">
    <w:altName w:val="宋体"/>
    <w:panose1 w:val="020B0609000101010101"/>
    <w:charset w:val="81"/>
    <w:family w:val="modern"/>
    <w:pitch w:val="default"/>
    <w:sig w:usb0="00000000" w:usb1="00000000" w:usb2="00000030" w:usb3="00000000" w:csb0="4008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25</w:t>
    </w:r>
    <w:r>
      <w:rPr>
        <w:rStyle w:val="41"/>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pPr>
      <w:pStyle w:val="2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zM2Q1NjkzNjI2ZmNmMzNhYWI4YzcxYjBhYmIyMTIifQ=="/>
    <w:docVar w:name="KSO_WPS_MARK_KEY" w:val="4998f677-011e-4953-b840-7d423de3b7e0"/>
  </w:docVars>
  <w:rsids>
    <w:rsidRoot w:val="002D677B"/>
    <w:rsid w:val="000145D1"/>
    <w:rsid w:val="00015C71"/>
    <w:rsid w:val="00017F4E"/>
    <w:rsid w:val="00042454"/>
    <w:rsid w:val="00055355"/>
    <w:rsid w:val="00057B34"/>
    <w:rsid w:val="00066BCF"/>
    <w:rsid w:val="00083A3D"/>
    <w:rsid w:val="00085013"/>
    <w:rsid w:val="0008734A"/>
    <w:rsid w:val="00091912"/>
    <w:rsid w:val="00092365"/>
    <w:rsid w:val="00095459"/>
    <w:rsid w:val="000A3D75"/>
    <w:rsid w:val="000A6C92"/>
    <w:rsid w:val="000B2850"/>
    <w:rsid w:val="000C3DA7"/>
    <w:rsid w:val="000E0886"/>
    <w:rsid w:val="000E6B18"/>
    <w:rsid w:val="0010048A"/>
    <w:rsid w:val="00122307"/>
    <w:rsid w:val="001252D5"/>
    <w:rsid w:val="001260B2"/>
    <w:rsid w:val="00135355"/>
    <w:rsid w:val="00143438"/>
    <w:rsid w:val="00146D70"/>
    <w:rsid w:val="00156254"/>
    <w:rsid w:val="001723C8"/>
    <w:rsid w:val="00172E78"/>
    <w:rsid w:val="001A3254"/>
    <w:rsid w:val="001B57E1"/>
    <w:rsid w:val="0021447E"/>
    <w:rsid w:val="002175D2"/>
    <w:rsid w:val="00222133"/>
    <w:rsid w:val="00230806"/>
    <w:rsid w:val="00232B23"/>
    <w:rsid w:val="00237471"/>
    <w:rsid w:val="002656AE"/>
    <w:rsid w:val="00275023"/>
    <w:rsid w:val="00295D2C"/>
    <w:rsid w:val="002A5B98"/>
    <w:rsid w:val="002C3E11"/>
    <w:rsid w:val="002D269B"/>
    <w:rsid w:val="002D508E"/>
    <w:rsid w:val="002D677B"/>
    <w:rsid w:val="002F5374"/>
    <w:rsid w:val="002F5CAB"/>
    <w:rsid w:val="00326AF1"/>
    <w:rsid w:val="003342EF"/>
    <w:rsid w:val="00341CB0"/>
    <w:rsid w:val="003452C5"/>
    <w:rsid w:val="003808D6"/>
    <w:rsid w:val="003A03AB"/>
    <w:rsid w:val="003A4DB8"/>
    <w:rsid w:val="003B7B6B"/>
    <w:rsid w:val="003E0B3C"/>
    <w:rsid w:val="003E7C3B"/>
    <w:rsid w:val="00424DA5"/>
    <w:rsid w:val="004413B4"/>
    <w:rsid w:val="00453F7D"/>
    <w:rsid w:val="00467683"/>
    <w:rsid w:val="004B422C"/>
    <w:rsid w:val="004C5D28"/>
    <w:rsid w:val="004C64FF"/>
    <w:rsid w:val="004D5F5D"/>
    <w:rsid w:val="00501EE6"/>
    <w:rsid w:val="00510E80"/>
    <w:rsid w:val="00524A87"/>
    <w:rsid w:val="00533AAE"/>
    <w:rsid w:val="00554CE3"/>
    <w:rsid w:val="005C6ADC"/>
    <w:rsid w:val="005D2854"/>
    <w:rsid w:val="005E56CC"/>
    <w:rsid w:val="005F481F"/>
    <w:rsid w:val="00654D2C"/>
    <w:rsid w:val="00661562"/>
    <w:rsid w:val="00667DEC"/>
    <w:rsid w:val="006A47DE"/>
    <w:rsid w:val="006B21E7"/>
    <w:rsid w:val="006C6C46"/>
    <w:rsid w:val="006D3DB9"/>
    <w:rsid w:val="006F01D1"/>
    <w:rsid w:val="006F3D3E"/>
    <w:rsid w:val="00703A7D"/>
    <w:rsid w:val="00736EA2"/>
    <w:rsid w:val="00755E18"/>
    <w:rsid w:val="00766A44"/>
    <w:rsid w:val="007679E5"/>
    <w:rsid w:val="00767BB2"/>
    <w:rsid w:val="0079235B"/>
    <w:rsid w:val="007B00FB"/>
    <w:rsid w:val="007C07BE"/>
    <w:rsid w:val="007C1C95"/>
    <w:rsid w:val="007E5141"/>
    <w:rsid w:val="007F618A"/>
    <w:rsid w:val="00810784"/>
    <w:rsid w:val="00821EE8"/>
    <w:rsid w:val="0086536B"/>
    <w:rsid w:val="00867583"/>
    <w:rsid w:val="008A6D3D"/>
    <w:rsid w:val="008B0E3B"/>
    <w:rsid w:val="008C0ED2"/>
    <w:rsid w:val="008D216E"/>
    <w:rsid w:val="008F6EB2"/>
    <w:rsid w:val="00917C0D"/>
    <w:rsid w:val="00922A63"/>
    <w:rsid w:val="00925990"/>
    <w:rsid w:val="00940C0D"/>
    <w:rsid w:val="0094320A"/>
    <w:rsid w:val="00961913"/>
    <w:rsid w:val="009622C1"/>
    <w:rsid w:val="0097577C"/>
    <w:rsid w:val="00980525"/>
    <w:rsid w:val="009B5EF1"/>
    <w:rsid w:val="00A136AC"/>
    <w:rsid w:val="00A17EB8"/>
    <w:rsid w:val="00A2462A"/>
    <w:rsid w:val="00A364B9"/>
    <w:rsid w:val="00A5114C"/>
    <w:rsid w:val="00A52EA8"/>
    <w:rsid w:val="00A612D2"/>
    <w:rsid w:val="00A74097"/>
    <w:rsid w:val="00A80EBE"/>
    <w:rsid w:val="00A8449C"/>
    <w:rsid w:val="00A85BA0"/>
    <w:rsid w:val="00A95755"/>
    <w:rsid w:val="00A957C6"/>
    <w:rsid w:val="00AB51D7"/>
    <w:rsid w:val="00AC4741"/>
    <w:rsid w:val="00B27CFD"/>
    <w:rsid w:val="00B5490B"/>
    <w:rsid w:val="00B57818"/>
    <w:rsid w:val="00B70C68"/>
    <w:rsid w:val="00B80346"/>
    <w:rsid w:val="00BA10A8"/>
    <w:rsid w:val="00BA136D"/>
    <w:rsid w:val="00BA3764"/>
    <w:rsid w:val="00BB722E"/>
    <w:rsid w:val="00BB7605"/>
    <w:rsid w:val="00BF0E19"/>
    <w:rsid w:val="00C07F41"/>
    <w:rsid w:val="00C35B5F"/>
    <w:rsid w:val="00C46EAD"/>
    <w:rsid w:val="00C5087F"/>
    <w:rsid w:val="00C734AB"/>
    <w:rsid w:val="00C84AAC"/>
    <w:rsid w:val="00C97CD9"/>
    <w:rsid w:val="00CA32AE"/>
    <w:rsid w:val="00CA60CE"/>
    <w:rsid w:val="00CE1386"/>
    <w:rsid w:val="00CE28E9"/>
    <w:rsid w:val="00CF10C1"/>
    <w:rsid w:val="00CF3743"/>
    <w:rsid w:val="00D027C9"/>
    <w:rsid w:val="00D03026"/>
    <w:rsid w:val="00D10B7C"/>
    <w:rsid w:val="00D13AEE"/>
    <w:rsid w:val="00D16453"/>
    <w:rsid w:val="00D175FB"/>
    <w:rsid w:val="00D33ECF"/>
    <w:rsid w:val="00D42B17"/>
    <w:rsid w:val="00D6083A"/>
    <w:rsid w:val="00D94E40"/>
    <w:rsid w:val="00DA7984"/>
    <w:rsid w:val="00DD2C6C"/>
    <w:rsid w:val="00DE18CD"/>
    <w:rsid w:val="00E20914"/>
    <w:rsid w:val="00E51EF9"/>
    <w:rsid w:val="00E83E73"/>
    <w:rsid w:val="00E912B4"/>
    <w:rsid w:val="00EA058C"/>
    <w:rsid w:val="00EC0762"/>
    <w:rsid w:val="00ED4737"/>
    <w:rsid w:val="00EE1E3E"/>
    <w:rsid w:val="00EE4358"/>
    <w:rsid w:val="00EE5630"/>
    <w:rsid w:val="00EF2195"/>
    <w:rsid w:val="00EF3C5F"/>
    <w:rsid w:val="00F02438"/>
    <w:rsid w:val="00F10319"/>
    <w:rsid w:val="00F22829"/>
    <w:rsid w:val="00F40445"/>
    <w:rsid w:val="00F464A7"/>
    <w:rsid w:val="00F47B41"/>
    <w:rsid w:val="00F564DA"/>
    <w:rsid w:val="00F64830"/>
    <w:rsid w:val="00F74BC0"/>
    <w:rsid w:val="00F819CE"/>
    <w:rsid w:val="00F91C4B"/>
    <w:rsid w:val="00FA1EEE"/>
    <w:rsid w:val="00FA35DA"/>
    <w:rsid w:val="00FC1D08"/>
    <w:rsid w:val="00FF1C7C"/>
    <w:rsid w:val="010D7DD7"/>
    <w:rsid w:val="011B0745"/>
    <w:rsid w:val="011C626C"/>
    <w:rsid w:val="012810B4"/>
    <w:rsid w:val="013730A5"/>
    <w:rsid w:val="01437C9C"/>
    <w:rsid w:val="015C2B0C"/>
    <w:rsid w:val="01610122"/>
    <w:rsid w:val="017165B7"/>
    <w:rsid w:val="01732017"/>
    <w:rsid w:val="01754149"/>
    <w:rsid w:val="017B11E4"/>
    <w:rsid w:val="017E1B19"/>
    <w:rsid w:val="01A526C2"/>
    <w:rsid w:val="01A845A5"/>
    <w:rsid w:val="01AA1AC9"/>
    <w:rsid w:val="01B12E58"/>
    <w:rsid w:val="01BE3C8E"/>
    <w:rsid w:val="01CA216C"/>
    <w:rsid w:val="01CA5CC8"/>
    <w:rsid w:val="01D029E9"/>
    <w:rsid w:val="01D86637"/>
    <w:rsid w:val="01ED3B47"/>
    <w:rsid w:val="01FE5971"/>
    <w:rsid w:val="02401501"/>
    <w:rsid w:val="02415826"/>
    <w:rsid w:val="024873DE"/>
    <w:rsid w:val="025263E9"/>
    <w:rsid w:val="02581525"/>
    <w:rsid w:val="02924A37"/>
    <w:rsid w:val="029A7D90"/>
    <w:rsid w:val="029F0F02"/>
    <w:rsid w:val="02AB72CA"/>
    <w:rsid w:val="02CA1A47"/>
    <w:rsid w:val="02CD5A6F"/>
    <w:rsid w:val="02FC4449"/>
    <w:rsid w:val="0300734E"/>
    <w:rsid w:val="03060322"/>
    <w:rsid w:val="03062E20"/>
    <w:rsid w:val="0321400D"/>
    <w:rsid w:val="03251029"/>
    <w:rsid w:val="033124A2"/>
    <w:rsid w:val="03394EB3"/>
    <w:rsid w:val="03443A7D"/>
    <w:rsid w:val="035C70A4"/>
    <w:rsid w:val="03710AF1"/>
    <w:rsid w:val="037729C1"/>
    <w:rsid w:val="03806F86"/>
    <w:rsid w:val="038720C2"/>
    <w:rsid w:val="038C4BE3"/>
    <w:rsid w:val="03A5079A"/>
    <w:rsid w:val="03B179AA"/>
    <w:rsid w:val="03B22505"/>
    <w:rsid w:val="03C2759E"/>
    <w:rsid w:val="03C926DB"/>
    <w:rsid w:val="03D64DF8"/>
    <w:rsid w:val="03D90444"/>
    <w:rsid w:val="03DB0660"/>
    <w:rsid w:val="03DE1785"/>
    <w:rsid w:val="03DF6104"/>
    <w:rsid w:val="03EE0393"/>
    <w:rsid w:val="03F4702C"/>
    <w:rsid w:val="04025BED"/>
    <w:rsid w:val="04067181"/>
    <w:rsid w:val="04103CCA"/>
    <w:rsid w:val="04115E30"/>
    <w:rsid w:val="04117BDE"/>
    <w:rsid w:val="041D10C1"/>
    <w:rsid w:val="042279BE"/>
    <w:rsid w:val="0437062F"/>
    <w:rsid w:val="043B4C5B"/>
    <w:rsid w:val="045521C0"/>
    <w:rsid w:val="04567CE7"/>
    <w:rsid w:val="04954A53"/>
    <w:rsid w:val="04A24CDA"/>
    <w:rsid w:val="04A40A52"/>
    <w:rsid w:val="04A55C80"/>
    <w:rsid w:val="04A722F0"/>
    <w:rsid w:val="04B57AAA"/>
    <w:rsid w:val="04BD7D66"/>
    <w:rsid w:val="04D01847"/>
    <w:rsid w:val="04D23811"/>
    <w:rsid w:val="04E62E18"/>
    <w:rsid w:val="04EE7346"/>
    <w:rsid w:val="04F33787"/>
    <w:rsid w:val="04FF212C"/>
    <w:rsid w:val="05036D27"/>
    <w:rsid w:val="05045387"/>
    <w:rsid w:val="05104E6D"/>
    <w:rsid w:val="05251F86"/>
    <w:rsid w:val="052A61F4"/>
    <w:rsid w:val="052D0A47"/>
    <w:rsid w:val="05356251"/>
    <w:rsid w:val="05373674"/>
    <w:rsid w:val="0544172F"/>
    <w:rsid w:val="0546428C"/>
    <w:rsid w:val="054C6F09"/>
    <w:rsid w:val="05524952"/>
    <w:rsid w:val="055408A9"/>
    <w:rsid w:val="05614B95"/>
    <w:rsid w:val="05654685"/>
    <w:rsid w:val="05791EDF"/>
    <w:rsid w:val="05812B41"/>
    <w:rsid w:val="05820C31"/>
    <w:rsid w:val="05A310FD"/>
    <w:rsid w:val="05B178CA"/>
    <w:rsid w:val="05DD246D"/>
    <w:rsid w:val="05E8737A"/>
    <w:rsid w:val="05ED76CD"/>
    <w:rsid w:val="05EF3F4F"/>
    <w:rsid w:val="05F002B9"/>
    <w:rsid w:val="060B5AFA"/>
    <w:rsid w:val="062214BD"/>
    <w:rsid w:val="06262FF6"/>
    <w:rsid w:val="062C51A3"/>
    <w:rsid w:val="062E2CC9"/>
    <w:rsid w:val="062E4A77"/>
    <w:rsid w:val="0652647A"/>
    <w:rsid w:val="065546FA"/>
    <w:rsid w:val="06562220"/>
    <w:rsid w:val="066606B5"/>
    <w:rsid w:val="066C41BA"/>
    <w:rsid w:val="06763BE5"/>
    <w:rsid w:val="0676641E"/>
    <w:rsid w:val="06A25465"/>
    <w:rsid w:val="06A604A6"/>
    <w:rsid w:val="06C23411"/>
    <w:rsid w:val="06D819D6"/>
    <w:rsid w:val="06E67100"/>
    <w:rsid w:val="06F94781"/>
    <w:rsid w:val="070B300A"/>
    <w:rsid w:val="07267565"/>
    <w:rsid w:val="074B20D5"/>
    <w:rsid w:val="07630750"/>
    <w:rsid w:val="07666493"/>
    <w:rsid w:val="076F5347"/>
    <w:rsid w:val="078868CB"/>
    <w:rsid w:val="078C18B4"/>
    <w:rsid w:val="0790350F"/>
    <w:rsid w:val="07A20F5E"/>
    <w:rsid w:val="07CD2253"/>
    <w:rsid w:val="07CD582F"/>
    <w:rsid w:val="07D10F1C"/>
    <w:rsid w:val="07E8334B"/>
    <w:rsid w:val="07F97307"/>
    <w:rsid w:val="07FE2B6F"/>
    <w:rsid w:val="080A12EB"/>
    <w:rsid w:val="080C703A"/>
    <w:rsid w:val="081768CD"/>
    <w:rsid w:val="08253C58"/>
    <w:rsid w:val="08386081"/>
    <w:rsid w:val="083A378F"/>
    <w:rsid w:val="08452D5D"/>
    <w:rsid w:val="0854453D"/>
    <w:rsid w:val="085F360E"/>
    <w:rsid w:val="0861256E"/>
    <w:rsid w:val="088A61B1"/>
    <w:rsid w:val="08A05B3A"/>
    <w:rsid w:val="08A708AD"/>
    <w:rsid w:val="08A74FB5"/>
    <w:rsid w:val="08C47915"/>
    <w:rsid w:val="08E25A06"/>
    <w:rsid w:val="091F2D9D"/>
    <w:rsid w:val="092953B4"/>
    <w:rsid w:val="09524F20"/>
    <w:rsid w:val="095742E5"/>
    <w:rsid w:val="095E38C5"/>
    <w:rsid w:val="095F7F4C"/>
    <w:rsid w:val="097053A7"/>
    <w:rsid w:val="097A7FD3"/>
    <w:rsid w:val="099077F7"/>
    <w:rsid w:val="09970B85"/>
    <w:rsid w:val="09A60123"/>
    <w:rsid w:val="09AE75F4"/>
    <w:rsid w:val="09B039F5"/>
    <w:rsid w:val="09B63701"/>
    <w:rsid w:val="09B95F2A"/>
    <w:rsid w:val="09C82F9F"/>
    <w:rsid w:val="09C94AB7"/>
    <w:rsid w:val="09DA6CC4"/>
    <w:rsid w:val="0A0B1FB1"/>
    <w:rsid w:val="0A0C7574"/>
    <w:rsid w:val="0A382368"/>
    <w:rsid w:val="0A424E4D"/>
    <w:rsid w:val="0A4C69F3"/>
    <w:rsid w:val="0A5E5C25"/>
    <w:rsid w:val="0A650C83"/>
    <w:rsid w:val="0A6F565E"/>
    <w:rsid w:val="0A764C3F"/>
    <w:rsid w:val="0A9E7CF1"/>
    <w:rsid w:val="0AB319EF"/>
    <w:rsid w:val="0AC57974"/>
    <w:rsid w:val="0AC736EC"/>
    <w:rsid w:val="0ACA6D38"/>
    <w:rsid w:val="0ACC2AB1"/>
    <w:rsid w:val="0AD12D78"/>
    <w:rsid w:val="0AE47DFA"/>
    <w:rsid w:val="0AE61DC4"/>
    <w:rsid w:val="0AEF3F69"/>
    <w:rsid w:val="0AF02C43"/>
    <w:rsid w:val="0AF82AC1"/>
    <w:rsid w:val="0AF838A6"/>
    <w:rsid w:val="0B1F3CE3"/>
    <w:rsid w:val="0B205477"/>
    <w:rsid w:val="0B21104E"/>
    <w:rsid w:val="0B2C17A1"/>
    <w:rsid w:val="0B66533A"/>
    <w:rsid w:val="0B680A2B"/>
    <w:rsid w:val="0B84414D"/>
    <w:rsid w:val="0B8E5FB8"/>
    <w:rsid w:val="0B957346"/>
    <w:rsid w:val="0B9B1A70"/>
    <w:rsid w:val="0BAA3813"/>
    <w:rsid w:val="0BB7550F"/>
    <w:rsid w:val="0BCD088E"/>
    <w:rsid w:val="0BD46BAD"/>
    <w:rsid w:val="0BE120B2"/>
    <w:rsid w:val="0BF71DAF"/>
    <w:rsid w:val="0C11027B"/>
    <w:rsid w:val="0C216E2C"/>
    <w:rsid w:val="0C8E2713"/>
    <w:rsid w:val="0C976371"/>
    <w:rsid w:val="0C992E66"/>
    <w:rsid w:val="0C9F6B04"/>
    <w:rsid w:val="0CAD246E"/>
    <w:rsid w:val="0CB16402"/>
    <w:rsid w:val="0CC021A1"/>
    <w:rsid w:val="0CC25A5C"/>
    <w:rsid w:val="0CCF5881"/>
    <w:rsid w:val="0CD45CCB"/>
    <w:rsid w:val="0CEC43CA"/>
    <w:rsid w:val="0CF307C8"/>
    <w:rsid w:val="0D1424ED"/>
    <w:rsid w:val="0D1E3BC3"/>
    <w:rsid w:val="0D272220"/>
    <w:rsid w:val="0D2E1801"/>
    <w:rsid w:val="0D3861DB"/>
    <w:rsid w:val="0D441024"/>
    <w:rsid w:val="0D476076"/>
    <w:rsid w:val="0D4C7ED9"/>
    <w:rsid w:val="0D50431A"/>
    <w:rsid w:val="0D533015"/>
    <w:rsid w:val="0D556D8D"/>
    <w:rsid w:val="0D58176E"/>
    <w:rsid w:val="0D731909"/>
    <w:rsid w:val="0D774F56"/>
    <w:rsid w:val="0D787EFA"/>
    <w:rsid w:val="0D8853B5"/>
    <w:rsid w:val="0DB655F2"/>
    <w:rsid w:val="0DBD15EE"/>
    <w:rsid w:val="0DC45CC1"/>
    <w:rsid w:val="0DDC74AE"/>
    <w:rsid w:val="0DF624E0"/>
    <w:rsid w:val="0E0802A4"/>
    <w:rsid w:val="0E0D1416"/>
    <w:rsid w:val="0E213113"/>
    <w:rsid w:val="0E2F3E86"/>
    <w:rsid w:val="0E346850"/>
    <w:rsid w:val="0E404088"/>
    <w:rsid w:val="0E4B1576"/>
    <w:rsid w:val="0E52151F"/>
    <w:rsid w:val="0E601F49"/>
    <w:rsid w:val="0E6165A5"/>
    <w:rsid w:val="0E6633BA"/>
    <w:rsid w:val="0E794CFD"/>
    <w:rsid w:val="0E807E3A"/>
    <w:rsid w:val="0EA0228A"/>
    <w:rsid w:val="0EA113FA"/>
    <w:rsid w:val="0EAA37E4"/>
    <w:rsid w:val="0EAC6E81"/>
    <w:rsid w:val="0EB338B2"/>
    <w:rsid w:val="0EBB3568"/>
    <w:rsid w:val="0ECA11CC"/>
    <w:rsid w:val="0EE93A12"/>
    <w:rsid w:val="0F0E18EA"/>
    <w:rsid w:val="0F19203C"/>
    <w:rsid w:val="0F2033CB"/>
    <w:rsid w:val="0F220EF1"/>
    <w:rsid w:val="0F2B249C"/>
    <w:rsid w:val="0F2D2AD0"/>
    <w:rsid w:val="0F2D61CB"/>
    <w:rsid w:val="0F311058"/>
    <w:rsid w:val="0F390E8E"/>
    <w:rsid w:val="0F3A26DF"/>
    <w:rsid w:val="0F3D0D9C"/>
    <w:rsid w:val="0F407786"/>
    <w:rsid w:val="0F4E7F38"/>
    <w:rsid w:val="0F56503F"/>
    <w:rsid w:val="0F8F57EF"/>
    <w:rsid w:val="0FA20284"/>
    <w:rsid w:val="0FB35FED"/>
    <w:rsid w:val="0FBA4CE7"/>
    <w:rsid w:val="0FCE2C6E"/>
    <w:rsid w:val="0FF47CB4"/>
    <w:rsid w:val="0FF97625"/>
    <w:rsid w:val="0FFE31DD"/>
    <w:rsid w:val="10066A65"/>
    <w:rsid w:val="100C7F8F"/>
    <w:rsid w:val="101412D3"/>
    <w:rsid w:val="1018304A"/>
    <w:rsid w:val="10233173"/>
    <w:rsid w:val="10340B33"/>
    <w:rsid w:val="104E46BC"/>
    <w:rsid w:val="10596B94"/>
    <w:rsid w:val="105D6224"/>
    <w:rsid w:val="10753EEC"/>
    <w:rsid w:val="107F42E6"/>
    <w:rsid w:val="10802373"/>
    <w:rsid w:val="108B7E69"/>
    <w:rsid w:val="1097621A"/>
    <w:rsid w:val="10A83678"/>
    <w:rsid w:val="10AF2C58"/>
    <w:rsid w:val="10B4201D"/>
    <w:rsid w:val="10D66437"/>
    <w:rsid w:val="10F44B0F"/>
    <w:rsid w:val="10F92125"/>
    <w:rsid w:val="110475FD"/>
    <w:rsid w:val="11056C8E"/>
    <w:rsid w:val="110725CC"/>
    <w:rsid w:val="1122167C"/>
    <w:rsid w:val="112847B9"/>
    <w:rsid w:val="11423ACC"/>
    <w:rsid w:val="11820B13"/>
    <w:rsid w:val="119066D9"/>
    <w:rsid w:val="11A335B5"/>
    <w:rsid w:val="11AB1672"/>
    <w:rsid w:val="11AD363C"/>
    <w:rsid w:val="11BB562D"/>
    <w:rsid w:val="11BD3153"/>
    <w:rsid w:val="11C12C43"/>
    <w:rsid w:val="11DD1A47"/>
    <w:rsid w:val="11DF6D3E"/>
    <w:rsid w:val="11F61489"/>
    <w:rsid w:val="12006A84"/>
    <w:rsid w:val="12065504"/>
    <w:rsid w:val="12080872"/>
    <w:rsid w:val="12107727"/>
    <w:rsid w:val="1219428E"/>
    <w:rsid w:val="121A05A5"/>
    <w:rsid w:val="121A74D7"/>
    <w:rsid w:val="12307DC9"/>
    <w:rsid w:val="12371157"/>
    <w:rsid w:val="12541D09"/>
    <w:rsid w:val="125A7F38"/>
    <w:rsid w:val="12614426"/>
    <w:rsid w:val="128D521B"/>
    <w:rsid w:val="129B16E6"/>
    <w:rsid w:val="12A165D1"/>
    <w:rsid w:val="12A23DAE"/>
    <w:rsid w:val="12A8795F"/>
    <w:rsid w:val="12AD1419"/>
    <w:rsid w:val="12B12624"/>
    <w:rsid w:val="12B207DE"/>
    <w:rsid w:val="12CC5D44"/>
    <w:rsid w:val="12D26850"/>
    <w:rsid w:val="12D70244"/>
    <w:rsid w:val="12E26080"/>
    <w:rsid w:val="12EA7F78"/>
    <w:rsid w:val="12F157AA"/>
    <w:rsid w:val="130564EA"/>
    <w:rsid w:val="1319085D"/>
    <w:rsid w:val="13345697"/>
    <w:rsid w:val="13490C7D"/>
    <w:rsid w:val="135C3D02"/>
    <w:rsid w:val="136046DE"/>
    <w:rsid w:val="136458D5"/>
    <w:rsid w:val="13653AA2"/>
    <w:rsid w:val="136917E4"/>
    <w:rsid w:val="1369556C"/>
    <w:rsid w:val="13786942"/>
    <w:rsid w:val="137F4B64"/>
    <w:rsid w:val="138948CB"/>
    <w:rsid w:val="138A360A"/>
    <w:rsid w:val="13963C5C"/>
    <w:rsid w:val="1399374C"/>
    <w:rsid w:val="139B5716"/>
    <w:rsid w:val="139F1AC7"/>
    <w:rsid w:val="139F6FB4"/>
    <w:rsid w:val="13A740BB"/>
    <w:rsid w:val="13BF7656"/>
    <w:rsid w:val="13C62793"/>
    <w:rsid w:val="13DD7ADC"/>
    <w:rsid w:val="13E7631D"/>
    <w:rsid w:val="13EE2605"/>
    <w:rsid w:val="13FF5CA5"/>
    <w:rsid w:val="140212F1"/>
    <w:rsid w:val="141352AC"/>
    <w:rsid w:val="142E0338"/>
    <w:rsid w:val="143B1652"/>
    <w:rsid w:val="14403689"/>
    <w:rsid w:val="14757D15"/>
    <w:rsid w:val="14943AA4"/>
    <w:rsid w:val="14977C8B"/>
    <w:rsid w:val="14B7032D"/>
    <w:rsid w:val="14C91E0F"/>
    <w:rsid w:val="14E27C21"/>
    <w:rsid w:val="14E82BDD"/>
    <w:rsid w:val="15170DCC"/>
    <w:rsid w:val="15284D87"/>
    <w:rsid w:val="153B2049"/>
    <w:rsid w:val="15614DA8"/>
    <w:rsid w:val="157B75AD"/>
    <w:rsid w:val="15A44D56"/>
    <w:rsid w:val="15AD79BC"/>
    <w:rsid w:val="15B35F47"/>
    <w:rsid w:val="15B4486D"/>
    <w:rsid w:val="15C36A6F"/>
    <w:rsid w:val="15CC2CC8"/>
    <w:rsid w:val="15DE5D55"/>
    <w:rsid w:val="15EA028F"/>
    <w:rsid w:val="16066864"/>
    <w:rsid w:val="16092E0B"/>
    <w:rsid w:val="16096967"/>
    <w:rsid w:val="165F0C7D"/>
    <w:rsid w:val="166D15EC"/>
    <w:rsid w:val="16777D74"/>
    <w:rsid w:val="16866209"/>
    <w:rsid w:val="16991EF7"/>
    <w:rsid w:val="16A13043"/>
    <w:rsid w:val="16A550C0"/>
    <w:rsid w:val="16BE59A3"/>
    <w:rsid w:val="16CF7BB0"/>
    <w:rsid w:val="16D76A65"/>
    <w:rsid w:val="16DA6555"/>
    <w:rsid w:val="16E82A20"/>
    <w:rsid w:val="16E86EC4"/>
    <w:rsid w:val="16F05D79"/>
    <w:rsid w:val="16F07B27"/>
    <w:rsid w:val="1700220F"/>
    <w:rsid w:val="17147CB9"/>
    <w:rsid w:val="1715758D"/>
    <w:rsid w:val="171C091C"/>
    <w:rsid w:val="172A4DE7"/>
    <w:rsid w:val="173850A7"/>
    <w:rsid w:val="17465999"/>
    <w:rsid w:val="174B2FAF"/>
    <w:rsid w:val="174C0AC9"/>
    <w:rsid w:val="17546308"/>
    <w:rsid w:val="175D340E"/>
    <w:rsid w:val="176177B2"/>
    <w:rsid w:val="17704145"/>
    <w:rsid w:val="177046F6"/>
    <w:rsid w:val="17780248"/>
    <w:rsid w:val="177B4CDC"/>
    <w:rsid w:val="178070FD"/>
    <w:rsid w:val="178265E9"/>
    <w:rsid w:val="179B5CE4"/>
    <w:rsid w:val="17A821AF"/>
    <w:rsid w:val="17AF353E"/>
    <w:rsid w:val="17BA7FA6"/>
    <w:rsid w:val="17D411F6"/>
    <w:rsid w:val="17F92A0B"/>
    <w:rsid w:val="18025D64"/>
    <w:rsid w:val="182061EA"/>
    <w:rsid w:val="18356139"/>
    <w:rsid w:val="183A3CF4"/>
    <w:rsid w:val="1844637C"/>
    <w:rsid w:val="184A0900"/>
    <w:rsid w:val="184A6B6A"/>
    <w:rsid w:val="18622CA6"/>
    <w:rsid w:val="18770500"/>
    <w:rsid w:val="18792196"/>
    <w:rsid w:val="187F2CCF"/>
    <w:rsid w:val="1881137E"/>
    <w:rsid w:val="18814EDA"/>
    <w:rsid w:val="18890233"/>
    <w:rsid w:val="1890412B"/>
    <w:rsid w:val="18BE19DD"/>
    <w:rsid w:val="18C120D6"/>
    <w:rsid w:val="18C63235"/>
    <w:rsid w:val="18F97167"/>
    <w:rsid w:val="18FA4C8D"/>
    <w:rsid w:val="18FE565B"/>
    <w:rsid w:val="19146BED"/>
    <w:rsid w:val="192B2CC7"/>
    <w:rsid w:val="19341F4D"/>
    <w:rsid w:val="193957B5"/>
    <w:rsid w:val="193D6D56"/>
    <w:rsid w:val="1973301A"/>
    <w:rsid w:val="19766A09"/>
    <w:rsid w:val="197B401F"/>
    <w:rsid w:val="198527A8"/>
    <w:rsid w:val="198B1495"/>
    <w:rsid w:val="198E3107"/>
    <w:rsid w:val="19973E81"/>
    <w:rsid w:val="1997486D"/>
    <w:rsid w:val="199E2028"/>
    <w:rsid w:val="19B968F6"/>
    <w:rsid w:val="19BD63E6"/>
    <w:rsid w:val="19C13A96"/>
    <w:rsid w:val="19CC03D7"/>
    <w:rsid w:val="19CD414F"/>
    <w:rsid w:val="19F065A7"/>
    <w:rsid w:val="19F33BB6"/>
    <w:rsid w:val="1A147FD0"/>
    <w:rsid w:val="1A2B77F4"/>
    <w:rsid w:val="1A30178C"/>
    <w:rsid w:val="1A5201C0"/>
    <w:rsid w:val="1A676352"/>
    <w:rsid w:val="1A6C248D"/>
    <w:rsid w:val="1A7016AA"/>
    <w:rsid w:val="1A71401F"/>
    <w:rsid w:val="1A7A6AA8"/>
    <w:rsid w:val="1A7D5B75"/>
    <w:rsid w:val="1A8C6350"/>
    <w:rsid w:val="1A8C640E"/>
    <w:rsid w:val="1A9133CF"/>
    <w:rsid w:val="1A937147"/>
    <w:rsid w:val="1AA11864"/>
    <w:rsid w:val="1AAB26E2"/>
    <w:rsid w:val="1ABD5F72"/>
    <w:rsid w:val="1AC92B69"/>
    <w:rsid w:val="1ADC289C"/>
    <w:rsid w:val="1ADD78E5"/>
    <w:rsid w:val="1AF45622"/>
    <w:rsid w:val="1AF776D6"/>
    <w:rsid w:val="1B012302"/>
    <w:rsid w:val="1B0E491E"/>
    <w:rsid w:val="1B177D78"/>
    <w:rsid w:val="1B1F6C2C"/>
    <w:rsid w:val="1B23671D"/>
    <w:rsid w:val="1B3E16D0"/>
    <w:rsid w:val="1B474A7D"/>
    <w:rsid w:val="1B4D379A"/>
    <w:rsid w:val="1B517DAC"/>
    <w:rsid w:val="1B5508A0"/>
    <w:rsid w:val="1B59213E"/>
    <w:rsid w:val="1B5A7D5C"/>
    <w:rsid w:val="1B78545F"/>
    <w:rsid w:val="1B7B26E1"/>
    <w:rsid w:val="1BA333BA"/>
    <w:rsid w:val="1BC5262E"/>
    <w:rsid w:val="1BCF41AF"/>
    <w:rsid w:val="1BD712B5"/>
    <w:rsid w:val="1BE614F8"/>
    <w:rsid w:val="1BEC4D61"/>
    <w:rsid w:val="1C0320AA"/>
    <w:rsid w:val="1C0D5DBE"/>
    <w:rsid w:val="1C1A0C17"/>
    <w:rsid w:val="1C32741A"/>
    <w:rsid w:val="1C384969"/>
    <w:rsid w:val="1C3D380E"/>
    <w:rsid w:val="1C3F0B4C"/>
    <w:rsid w:val="1C405AE5"/>
    <w:rsid w:val="1C6674FA"/>
    <w:rsid w:val="1C735482"/>
    <w:rsid w:val="1C80194D"/>
    <w:rsid w:val="1C872916"/>
    <w:rsid w:val="1CA05B4B"/>
    <w:rsid w:val="1CA37F75"/>
    <w:rsid w:val="1CA4563B"/>
    <w:rsid w:val="1CB6711D"/>
    <w:rsid w:val="1CCA0EC1"/>
    <w:rsid w:val="1CCE26B8"/>
    <w:rsid w:val="1CD35F20"/>
    <w:rsid w:val="1CD51C99"/>
    <w:rsid w:val="1CDA656E"/>
    <w:rsid w:val="1CF60774"/>
    <w:rsid w:val="1D1F4CC2"/>
    <w:rsid w:val="1D28626C"/>
    <w:rsid w:val="1D4961E3"/>
    <w:rsid w:val="1D7B74A7"/>
    <w:rsid w:val="1D8E3BF5"/>
    <w:rsid w:val="1D960483"/>
    <w:rsid w:val="1DA63635"/>
    <w:rsid w:val="1DB23D88"/>
    <w:rsid w:val="1DB418AE"/>
    <w:rsid w:val="1DB7139E"/>
    <w:rsid w:val="1DCC309C"/>
    <w:rsid w:val="1DF15284"/>
    <w:rsid w:val="1DF47EFC"/>
    <w:rsid w:val="1E025426"/>
    <w:rsid w:val="1E114F52"/>
    <w:rsid w:val="1E311151"/>
    <w:rsid w:val="1E3D16DB"/>
    <w:rsid w:val="1E432C32"/>
    <w:rsid w:val="1E6432D4"/>
    <w:rsid w:val="1E674B72"/>
    <w:rsid w:val="1E6C03DB"/>
    <w:rsid w:val="1E82375A"/>
    <w:rsid w:val="1E975888"/>
    <w:rsid w:val="1EA41923"/>
    <w:rsid w:val="1EA9766F"/>
    <w:rsid w:val="1EB33096"/>
    <w:rsid w:val="1ED146E2"/>
    <w:rsid w:val="1EE461C3"/>
    <w:rsid w:val="1EFA7794"/>
    <w:rsid w:val="1EFB5B74"/>
    <w:rsid w:val="1F01085A"/>
    <w:rsid w:val="1F171CFB"/>
    <w:rsid w:val="1F2D7B6A"/>
    <w:rsid w:val="1F316F2E"/>
    <w:rsid w:val="1F355821"/>
    <w:rsid w:val="1F3C13B6"/>
    <w:rsid w:val="1F4B49D6"/>
    <w:rsid w:val="1F7D0CD8"/>
    <w:rsid w:val="1F7E6617"/>
    <w:rsid w:val="1F84550F"/>
    <w:rsid w:val="1FB43DE7"/>
    <w:rsid w:val="1FEF6BCD"/>
    <w:rsid w:val="1FF85069"/>
    <w:rsid w:val="1FFE32B4"/>
    <w:rsid w:val="20140D2A"/>
    <w:rsid w:val="201F1841"/>
    <w:rsid w:val="202A40A9"/>
    <w:rsid w:val="20344F28"/>
    <w:rsid w:val="20365E00"/>
    <w:rsid w:val="203D453F"/>
    <w:rsid w:val="20484530"/>
    <w:rsid w:val="20684BD2"/>
    <w:rsid w:val="208C266E"/>
    <w:rsid w:val="20915ED7"/>
    <w:rsid w:val="2096111F"/>
    <w:rsid w:val="20C04A0E"/>
    <w:rsid w:val="20CB1E6B"/>
    <w:rsid w:val="20F019B8"/>
    <w:rsid w:val="20F41885"/>
    <w:rsid w:val="21311468"/>
    <w:rsid w:val="213D1BBA"/>
    <w:rsid w:val="21494A03"/>
    <w:rsid w:val="214C24EF"/>
    <w:rsid w:val="215C4736"/>
    <w:rsid w:val="216D6944"/>
    <w:rsid w:val="21775AB6"/>
    <w:rsid w:val="217947A7"/>
    <w:rsid w:val="218C669E"/>
    <w:rsid w:val="21921F06"/>
    <w:rsid w:val="219739C1"/>
    <w:rsid w:val="21993B18"/>
    <w:rsid w:val="21BC3427"/>
    <w:rsid w:val="21C14AF0"/>
    <w:rsid w:val="21CF1C81"/>
    <w:rsid w:val="21E07116"/>
    <w:rsid w:val="220646A2"/>
    <w:rsid w:val="221548E5"/>
    <w:rsid w:val="224321DA"/>
    <w:rsid w:val="2246438A"/>
    <w:rsid w:val="22464B8D"/>
    <w:rsid w:val="22590C76"/>
    <w:rsid w:val="22685DDE"/>
    <w:rsid w:val="227930C6"/>
    <w:rsid w:val="22943A5C"/>
    <w:rsid w:val="22995516"/>
    <w:rsid w:val="229A201B"/>
    <w:rsid w:val="22AA14D2"/>
    <w:rsid w:val="22B4600F"/>
    <w:rsid w:val="22BDFA33"/>
    <w:rsid w:val="22E47C1F"/>
    <w:rsid w:val="22F015DA"/>
    <w:rsid w:val="22F369D5"/>
    <w:rsid w:val="22FD5AA5"/>
    <w:rsid w:val="2303684B"/>
    <w:rsid w:val="2309269C"/>
    <w:rsid w:val="2309444A"/>
    <w:rsid w:val="231F3BD1"/>
    <w:rsid w:val="232C0139"/>
    <w:rsid w:val="23360FB7"/>
    <w:rsid w:val="23426F02"/>
    <w:rsid w:val="2342795C"/>
    <w:rsid w:val="23447230"/>
    <w:rsid w:val="234846F6"/>
    <w:rsid w:val="235A4CA6"/>
    <w:rsid w:val="2366189C"/>
    <w:rsid w:val="236C2E3A"/>
    <w:rsid w:val="236D0839"/>
    <w:rsid w:val="236E2F6E"/>
    <w:rsid w:val="237D0994"/>
    <w:rsid w:val="23850280"/>
    <w:rsid w:val="2396579E"/>
    <w:rsid w:val="239974D6"/>
    <w:rsid w:val="23A45F21"/>
    <w:rsid w:val="23BC326A"/>
    <w:rsid w:val="23BF71FF"/>
    <w:rsid w:val="23C16AD3"/>
    <w:rsid w:val="23C814E1"/>
    <w:rsid w:val="23CC5CEE"/>
    <w:rsid w:val="23DA5DE6"/>
    <w:rsid w:val="23DC66B4"/>
    <w:rsid w:val="23E266D0"/>
    <w:rsid w:val="23E4618A"/>
    <w:rsid w:val="240E5F29"/>
    <w:rsid w:val="2422439F"/>
    <w:rsid w:val="24290213"/>
    <w:rsid w:val="244E3D8C"/>
    <w:rsid w:val="244F40DF"/>
    <w:rsid w:val="24651B54"/>
    <w:rsid w:val="24780825"/>
    <w:rsid w:val="24A24B56"/>
    <w:rsid w:val="24B335CE"/>
    <w:rsid w:val="24C90335"/>
    <w:rsid w:val="24E54A43"/>
    <w:rsid w:val="24E567F1"/>
    <w:rsid w:val="24E862E1"/>
    <w:rsid w:val="24F133E8"/>
    <w:rsid w:val="24FE5B05"/>
    <w:rsid w:val="251669BE"/>
    <w:rsid w:val="251E1D03"/>
    <w:rsid w:val="25257535"/>
    <w:rsid w:val="2536704D"/>
    <w:rsid w:val="25445C0D"/>
    <w:rsid w:val="25493224"/>
    <w:rsid w:val="254E25E8"/>
    <w:rsid w:val="25592D3B"/>
    <w:rsid w:val="258129BE"/>
    <w:rsid w:val="25A77F4A"/>
    <w:rsid w:val="25B14925"/>
    <w:rsid w:val="25B5275F"/>
    <w:rsid w:val="25BA7C7E"/>
    <w:rsid w:val="25CB3C39"/>
    <w:rsid w:val="25CC174F"/>
    <w:rsid w:val="25CD79B1"/>
    <w:rsid w:val="25DA20CE"/>
    <w:rsid w:val="25EF0E4B"/>
    <w:rsid w:val="25FA2770"/>
    <w:rsid w:val="25FF7D86"/>
    <w:rsid w:val="261E020C"/>
    <w:rsid w:val="2629095F"/>
    <w:rsid w:val="26396DF4"/>
    <w:rsid w:val="263E440B"/>
    <w:rsid w:val="26415202"/>
    <w:rsid w:val="264173DC"/>
    <w:rsid w:val="264439EB"/>
    <w:rsid w:val="264B5FA1"/>
    <w:rsid w:val="264D28A0"/>
    <w:rsid w:val="26527EB6"/>
    <w:rsid w:val="2661634B"/>
    <w:rsid w:val="26622233"/>
    <w:rsid w:val="26681488"/>
    <w:rsid w:val="26964247"/>
    <w:rsid w:val="269C26E3"/>
    <w:rsid w:val="26A56238"/>
    <w:rsid w:val="26B11081"/>
    <w:rsid w:val="26CA2142"/>
    <w:rsid w:val="26ED1281"/>
    <w:rsid w:val="26FB22FC"/>
    <w:rsid w:val="27001EC8"/>
    <w:rsid w:val="270528B8"/>
    <w:rsid w:val="270967D1"/>
    <w:rsid w:val="270C03E2"/>
    <w:rsid w:val="270F3098"/>
    <w:rsid w:val="27147861"/>
    <w:rsid w:val="272E2D63"/>
    <w:rsid w:val="273011E4"/>
    <w:rsid w:val="27410CB9"/>
    <w:rsid w:val="275B723E"/>
    <w:rsid w:val="27666F35"/>
    <w:rsid w:val="276D441A"/>
    <w:rsid w:val="27721C50"/>
    <w:rsid w:val="2775116C"/>
    <w:rsid w:val="277B343D"/>
    <w:rsid w:val="279050AE"/>
    <w:rsid w:val="279D1605"/>
    <w:rsid w:val="27B801ED"/>
    <w:rsid w:val="27F751B9"/>
    <w:rsid w:val="27FF406E"/>
    <w:rsid w:val="280E42B1"/>
    <w:rsid w:val="2835183D"/>
    <w:rsid w:val="28355CE1"/>
    <w:rsid w:val="283E4B96"/>
    <w:rsid w:val="28422863"/>
    <w:rsid w:val="28425D08"/>
    <w:rsid w:val="28577A06"/>
    <w:rsid w:val="2860495C"/>
    <w:rsid w:val="2861396F"/>
    <w:rsid w:val="28677614"/>
    <w:rsid w:val="286D7229"/>
    <w:rsid w:val="28844573"/>
    <w:rsid w:val="288D2407"/>
    <w:rsid w:val="2897602C"/>
    <w:rsid w:val="28AB1AFF"/>
    <w:rsid w:val="28B44010"/>
    <w:rsid w:val="28CA391A"/>
    <w:rsid w:val="28D21782"/>
    <w:rsid w:val="28F75950"/>
    <w:rsid w:val="29003BF9"/>
    <w:rsid w:val="29015C1F"/>
    <w:rsid w:val="29127DD1"/>
    <w:rsid w:val="29384EA8"/>
    <w:rsid w:val="29453D02"/>
    <w:rsid w:val="294855A0"/>
    <w:rsid w:val="29543F45"/>
    <w:rsid w:val="295F07C5"/>
    <w:rsid w:val="29842A7C"/>
    <w:rsid w:val="298A3E0B"/>
    <w:rsid w:val="298A4145"/>
    <w:rsid w:val="29946A38"/>
    <w:rsid w:val="29B844D4"/>
    <w:rsid w:val="29C76E85"/>
    <w:rsid w:val="29C926FC"/>
    <w:rsid w:val="29DF4157"/>
    <w:rsid w:val="29E26463"/>
    <w:rsid w:val="29F53B22"/>
    <w:rsid w:val="29FB0865"/>
    <w:rsid w:val="2A023B5C"/>
    <w:rsid w:val="2A043BBD"/>
    <w:rsid w:val="2A07065D"/>
    <w:rsid w:val="2A0A08C3"/>
    <w:rsid w:val="2A1E0B8D"/>
    <w:rsid w:val="2A225DF1"/>
    <w:rsid w:val="2A263B34"/>
    <w:rsid w:val="2A3C6EB3"/>
    <w:rsid w:val="2A3F0751"/>
    <w:rsid w:val="2A4D10C0"/>
    <w:rsid w:val="2A534564"/>
    <w:rsid w:val="2A573A70"/>
    <w:rsid w:val="2A5A1A2F"/>
    <w:rsid w:val="2A5E7E2D"/>
    <w:rsid w:val="2A75186F"/>
    <w:rsid w:val="2A7523C5"/>
    <w:rsid w:val="2A762F7B"/>
    <w:rsid w:val="2A8645D2"/>
    <w:rsid w:val="2A9A1E2C"/>
    <w:rsid w:val="2AA44A58"/>
    <w:rsid w:val="2AE15CAC"/>
    <w:rsid w:val="2AFC4894"/>
    <w:rsid w:val="2B035C23"/>
    <w:rsid w:val="2B141BDE"/>
    <w:rsid w:val="2B14398C"/>
    <w:rsid w:val="2B17347C"/>
    <w:rsid w:val="2B225F49"/>
    <w:rsid w:val="2B232E3E"/>
    <w:rsid w:val="2B4F2C16"/>
    <w:rsid w:val="2B503DF1"/>
    <w:rsid w:val="2B54647E"/>
    <w:rsid w:val="2B960845"/>
    <w:rsid w:val="2BC90C1A"/>
    <w:rsid w:val="2BCD4FE1"/>
    <w:rsid w:val="2BCF1FA9"/>
    <w:rsid w:val="2BD355F5"/>
    <w:rsid w:val="2BDE4899"/>
    <w:rsid w:val="2BE912BD"/>
    <w:rsid w:val="2BF33EE9"/>
    <w:rsid w:val="2BF437BD"/>
    <w:rsid w:val="2BF81500"/>
    <w:rsid w:val="2C1300E8"/>
    <w:rsid w:val="2C162720"/>
    <w:rsid w:val="2C1A2261"/>
    <w:rsid w:val="2C3B13EC"/>
    <w:rsid w:val="2C424529"/>
    <w:rsid w:val="2C4604BD"/>
    <w:rsid w:val="2C576226"/>
    <w:rsid w:val="2C583D4C"/>
    <w:rsid w:val="2C714E0E"/>
    <w:rsid w:val="2C716AB4"/>
    <w:rsid w:val="2C8E3C12"/>
    <w:rsid w:val="2C8E776E"/>
    <w:rsid w:val="2CA156F3"/>
    <w:rsid w:val="2CAC78D7"/>
    <w:rsid w:val="2CBD48CE"/>
    <w:rsid w:val="2CBE0B34"/>
    <w:rsid w:val="2CC118F2"/>
    <w:rsid w:val="2CE211B2"/>
    <w:rsid w:val="2CEA52EC"/>
    <w:rsid w:val="2D164240"/>
    <w:rsid w:val="2D53636F"/>
    <w:rsid w:val="2D7C3A6A"/>
    <w:rsid w:val="2D87279C"/>
    <w:rsid w:val="2D8A6187"/>
    <w:rsid w:val="2DB651CE"/>
    <w:rsid w:val="2DCC054E"/>
    <w:rsid w:val="2DE8495E"/>
    <w:rsid w:val="2DEB3FFF"/>
    <w:rsid w:val="2E0028ED"/>
    <w:rsid w:val="2E015B36"/>
    <w:rsid w:val="2E0E500A"/>
    <w:rsid w:val="2E1E3123"/>
    <w:rsid w:val="2E275F81"/>
    <w:rsid w:val="2E3600BD"/>
    <w:rsid w:val="2E453834"/>
    <w:rsid w:val="2E491B58"/>
    <w:rsid w:val="2E4E51C2"/>
    <w:rsid w:val="2E5D389C"/>
    <w:rsid w:val="2E77681E"/>
    <w:rsid w:val="2E84707B"/>
    <w:rsid w:val="2E9337BD"/>
    <w:rsid w:val="2EA6465D"/>
    <w:rsid w:val="2EC1207D"/>
    <w:rsid w:val="2EC67D1D"/>
    <w:rsid w:val="2ED741E5"/>
    <w:rsid w:val="2EE66344"/>
    <w:rsid w:val="2F171C9D"/>
    <w:rsid w:val="2F2A5E74"/>
    <w:rsid w:val="2F3740ED"/>
    <w:rsid w:val="2F4B2B19"/>
    <w:rsid w:val="2F5B28C9"/>
    <w:rsid w:val="2F6246CC"/>
    <w:rsid w:val="2F633134"/>
    <w:rsid w:val="2F6F0CA0"/>
    <w:rsid w:val="2F736386"/>
    <w:rsid w:val="2F776BDF"/>
    <w:rsid w:val="2F884949"/>
    <w:rsid w:val="2FA06136"/>
    <w:rsid w:val="2FB13E9F"/>
    <w:rsid w:val="2FC53683"/>
    <w:rsid w:val="2FC936AE"/>
    <w:rsid w:val="2FE97A5F"/>
    <w:rsid w:val="2FFA3814"/>
    <w:rsid w:val="301673DA"/>
    <w:rsid w:val="303074BA"/>
    <w:rsid w:val="303D1BD7"/>
    <w:rsid w:val="304B42F4"/>
    <w:rsid w:val="304C1E1A"/>
    <w:rsid w:val="3058256D"/>
    <w:rsid w:val="305A47DE"/>
    <w:rsid w:val="306F15FF"/>
    <w:rsid w:val="309E348C"/>
    <w:rsid w:val="30DA1B8F"/>
    <w:rsid w:val="3112096E"/>
    <w:rsid w:val="311D0C69"/>
    <w:rsid w:val="31394322"/>
    <w:rsid w:val="31723B02"/>
    <w:rsid w:val="3184082E"/>
    <w:rsid w:val="319729AB"/>
    <w:rsid w:val="31F13FAD"/>
    <w:rsid w:val="31F91B2E"/>
    <w:rsid w:val="3200779C"/>
    <w:rsid w:val="320329AC"/>
    <w:rsid w:val="320E382B"/>
    <w:rsid w:val="32171FB4"/>
    <w:rsid w:val="321B0AFF"/>
    <w:rsid w:val="321B1785"/>
    <w:rsid w:val="3220530C"/>
    <w:rsid w:val="323808A8"/>
    <w:rsid w:val="32560D2E"/>
    <w:rsid w:val="325904C6"/>
    <w:rsid w:val="32617B06"/>
    <w:rsid w:val="3264169D"/>
    <w:rsid w:val="32676A97"/>
    <w:rsid w:val="32716803"/>
    <w:rsid w:val="32747406"/>
    <w:rsid w:val="327D450D"/>
    <w:rsid w:val="328304A8"/>
    <w:rsid w:val="328F47B4"/>
    <w:rsid w:val="329F693F"/>
    <w:rsid w:val="32A25D21"/>
    <w:rsid w:val="32A47CEB"/>
    <w:rsid w:val="32A63A63"/>
    <w:rsid w:val="32AB3FC1"/>
    <w:rsid w:val="32B36180"/>
    <w:rsid w:val="32BC5F4D"/>
    <w:rsid w:val="32CE2FBA"/>
    <w:rsid w:val="32CE61B4"/>
    <w:rsid w:val="32DA54BB"/>
    <w:rsid w:val="32E73F29"/>
    <w:rsid w:val="32EB76C8"/>
    <w:rsid w:val="33030EB6"/>
    <w:rsid w:val="3310712F"/>
    <w:rsid w:val="332B7537"/>
    <w:rsid w:val="33356B95"/>
    <w:rsid w:val="3340798D"/>
    <w:rsid w:val="33482D6D"/>
    <w:rsid w:val="335752E2"/>
    <w:rsid w:val="336C7C50"/>
    <w:rsid w:val="336E3E55"/>
    <w:rsid w:val="336F654B"/>
    <w:rsid w:val="337F6063"/>
    <w:rsid w:val="33865643"/>
    <w:rsid w:val="33896203"/>
    <w:rsid w:val="33896EE1"/>
    <w:rsid w:val="33923FE8"/>
    <w:rsid w:val="33945FB2"/>
    <w:rsid w:val="33A67A93"/>
    <w:rsid w:val="33BB353F"/>
    <w:rsid w:val="33D26ADA"/>
    <w:rsid w:val="33D5052B"/>
    <w:rsid w:val="33F86541"/>
    <w:rsid w:val="33FB393B"/>
    <w:rsid w:val="33FE364D"/>
    <w:rsid w:val="3429115A"/>
    <w:rsid w:val="342F1837"/>
    <w:rsid w:val="343155AF"/>
    <w:rsid w:val="345C12B5"/>
    <w:rsid w:val="34675474"/>
    <w:rsid w:val="34711E4F"/>
    <w:rsid w:val="34833670"/>
    <w:rsid w:val="34853B4C"/>
    <w:rsid w:val="348925AE"/>
    <w:rsid w:val="34972580"/>
    <w:rsid w:val="34A73AC3"/>
    <w:rsid w:val="34B34216"/>
    <w:rsid w:val="34BF0E0C"/>
    <w:rsid w:val="34C06933"/>
    <w:rsid w:val="34C74165"/>
    <w:rsid w:val="34D61347"/>
    <w:rsid w:val="34F2580B"/>
    <w:rsid w:val="34F42637"/>
    <w:rsid w:val="3512660E"/>
    <w:rsid w:val="3518051D"/>
    <w:rsid w:val="351A6043"/>
    <w:rsid w:val="35303AB8"/>
    <w:rsid w:val="35492DCC"/>
    <w:rsid w:val="354B26A0"/>
    <w:rsid w:val="35527ED3"/>
    <w:rsid w:val="355359F9"/>
    <w:rsid w:val="356419B4"/>
    <w:rsid w:val="35747E49"/>
    <w:rsid w:val="35812566"/>
    <w:rsid w:val="3594748F"/>
    <w:rsid w:val="35986E4F"/>
    <w:rsid w:val="35C249F4"/>
    <w:rsid w:val="35CB558F"/>
    <w:rsid w:val="35D00DF7"/>
    <w:rsid w:val="35D97FD5"/>
    <w:rsid w:val="35E333C6"/>
    <w:rsid w:val="35E623C9"/>
    <w:rsid w:val="36024564"/>
    <w:rsid w:val="36140998"/>
    <w:rsid w:val="361E1B63"/>
    <w:rsid w:val="36276335"/>
    <w:rsid w:val="363C023B"/>
    <w:rsid w:val="363C0D56"/>
    <w:rsid w:val="36413AA3"/>
    <w:rsid w:val="3652180C"/>
    <w:rsid w:val="365B4B65"/>
    <w:rsid w:val="36603F29"/>
    <w:rsid w:val="366652B8"/>
    <w:rsid w:val="3669567D"/>
    <w:rsid w:val="36772E7D"/>
    <w:rsid w:val="368371E9"/>
    <w:rsid w:val="368F2A60"/>
    <w:rsid w:val="3690583E"/>
    <w:rsid w:val="36981B5D"/>
    <w:rsid w:val="36A505CD"/>
    <w:rsid w:val="36A93B22"/>
    <w:rsid w:val="36A9634B"/>
    <w:rsid w:val="36AE738B"/>
    <w:rsid w:val="36B50719"/>
    <w:rsid w:val="36BE6EA2"/>
    <w:rsid w:val="36C34865"/>
    <w:rsid w:val="36C94F33"/>
    <w:rsid w:val="36D079C8"/>
    <w:rsid w:val="36E66833"/>
    <w:rsid w:val="36E92171"/>
    <w:rsid w:val="36F62AE0"/>
    <w:rsid w:val="36FC46DC"/>
    <w:rsid w:val="37217B5C"/>
    <w:rsid w:val="372E04CB"/>
    <w:rsid w:val="372E2279"/>
    <w:rsid w:val="37310D41"/>
    <w:rsid w:val="37351D75"/>
    <w:rsid w:val="37665ACF"/>
    <w:rsid w:val="377A4097"/>
    <w:rsid w:val="37895702"/>
    <w:rsid w:val="378C0D4E"/>
    <w:rsid w:val="37955E55"/>
    <w:rsid w:val="37A42919"/>
    <w:rsid w:val="37B02C8E"/>
    <w:rsid w:val="37B24C58"/>
    <w:rsid w:val="37BA1D5F"/>
    <w:rsid w:val="37C107D0"/>
    <w:rsid w:val="37C36E66"/>
    <w:rsid w:val="37C57441"/>
    <w:rsid w:val="37CA01F4"/>
    <w:rsid w:val="37D716E7"/>
    <w:rsid w:val="37F336B5"/>
    <w:rsid w:val="37F963E3"/>
    <w:rsid w:val="380A05F1"/>
    <w:rsid w:val="380B4369"/>
    <w:rsid w:val="381C6576"/>
    <w:rsid w:val="38351B40"/>
    <w:rsid w:val="3848736B"/>
    <w:rsid w:val="384D2BD3"/>
    <w:rsid w:val="386817BB"/>
    <w:rsid w:val="38806B05"/>
    <w:rsid w:val="388303A3"/>
    <w:rsid w:val="389B1225"/>
    <w:rsid w:val="38A71C05"/>
    <w:rsid w:val="38A87E0A"/>
    <w:rsid w:val="38C435DA"/>
    <w:rsid w:val="38CF35E8"/>
    <w:rsid w:val="38D86941"/>
    <w:rsid w:val="38E075A3"/>
    <w:rsid w:val="39034B3A"/>
    <w:rsid w:val="39047736"/>
    <w:rsid w:val="39070FD4"/>
    <w:rsid w:val="39074B30"/>
    <w:rsid w:val="391334D5"/>
    <w:rsid w:val="391D218E"/>
    <w:rsid w:val="3922196A"/>
    <w:rsid w:val="39381D3C"/>
    <w:rsid w:val="394C4C39"/>
    <w:rsid w:val="39673821"/>
    <w:rsid w:val="39706B79"/>
    <w:rsid w:val="39754190"/>
    <w:rsid w:val="398879CF"/>
    <w:rsid w:val="39897C3B"/>
    <w:rsid w:val="39BC1DBE"/>
    <w:rsid w:val="39BC33F3"/>
    <w:rsid w:val="39BF18AF"/>
    <w:rsid w:val="39D31AAB"/>
    <w:rsid w:val="39D761EF"/>
    <w:rsid w:val="39E76710"/>
    <w:rsid w:val="39FF05EC"/>
    <w:rsid w:val="3A03179B"/>
    <w:rsid w:val="3A0472C2"/>
    <w:rsid w:val="3A105C66"/>
    <w:rsid w:val="3A306308"/>
    <w:rsid w:val="3A3E4582"/>
    <w:rsid w:val="3A451E98"/>
    <w:rsid w:val="3A4C7A17"/>
    <w:rsid w:val="3A5F436E"/>
    <w:rsid w:val="3A8F3EBA"/>
    <w:rsid w:val="3A9B19D4"/>
    <w:rsid w:val="3AB10259"/>
    <w:rsid w:val="3AB42A96"/>
    <w:rsid w:val="3AB64A60"/>
    <w:rsid w:val="3ABA6222"/>
    <w:rsid w:val="3ABE0A76"/>
    <w:rsid w:val="3AC70A1B"/>
    <w:rsid w:val="3AC96C9F"/>
    <w:rsid w:val="3AFC487D"/>
    <w:rsid w:val="3B0357CB"/>
    <w:rsid w:val="3B111C96"/>
    <w:rsid w:val="3B207931"/>
    <w:rsid w:val="3B223EA3"/>
    <w:rsid w:val="3B301F44"/>
    <w:rsid w:val="3B386755"/>
    <w:rsid w:val="3B471B5C"/>
    <w:rsid w:val="3B4B45D0"/>
    <w:rsid w:val="3B551DE2"/>
    <w:rsid w:val="3B647AFF"/>
    <w:rsid w:val="3B787F67"/>
    <w:rsid w:val="3B793591"/>
    <w:rsid w:val="3B8C6144"/>
    <w:rsid w:val="3B9D352A"/>
    <w:rsid w:val="3BAE3989"/>
    <w:rsid w:val="3BAE4829"/>
    <w:rsid w:val="3BCD02B3"/>
    <w:rsid w:val="3BDF73C5"/>
    <w:rsid w:val="3BFA097C"/>
    <w:rsid w:val="3C017F5D"/>
    <w:rsid w:val="3C125CC6"/>
    <w:rsid w:val="3C221C81"/>
    <w:rsid w:val="3C240C4D"/>
    <w:rsid w:val="3C4A1903"/>
    <w:rsid w:val="3C634773"/>
    <w:rsid w:val="3C6978B0"/>
    <w:rsid w:val="3C746980"/>
    <w:rsid w:val="3C8B5A78"/>
    <w:rsid w:val="3C90308E"/>
    <w:rsid w:val="3C9D6E49"/>
    <w:rsid w:val="3CB85688"/>
    <w:rsid w:val="3CCD6091"/>
    <w:rsid w:val="3CD22E5A"/>
    <w:rsid w:val="3CE60F00"/>
    <w:rsid w:val="3CEF6007"/>
    <w:rsid w:val="3CF63839"/>
    <w:rsid w:val="3D0F0457"/>
    <w:rsid w:val="3D145A6E"/>
    <w:rsid w:val="3D204412"/>
    <w:rsid w:val="3D2832C7"/>
    <w:rsid w:val="3D29776B"/>
    <w:rsid w:val="3D712EC0"/>
    <w:rsid w:val="3D902D22"/>
    <w:rsid w:val="3DA12FD2"/>
    <w:rsid w:val="3DA54B6B"/>
    <w:rsid w:val="3DBF00CF"/>
    <w:rsid w:val="3DE073DD"/>
    <w:rsid w:val="3DF4021A"/>
    <w:rsid w:val="3DF77869"/>
    <w:rsid w:val="3E014244"/>
    <w:rsid w:val="3E047963"/>
    <w:rsid w:val="3E083824"/>
    <w:rsid w:val="3E10092B"/>
    <w:rsid w:val="3E111FAD"/>
    <w:rsid w:val="3E1C72D0"/>
    <w:rsid w:val="3E410F1A"/>
    <w:rsid w:val="3E5F540E"/>
    <w:rsid w:val="3E7569E0"/>
    <w:rsid w:val="3E7E1E59"/>
    <w:rsid w:val="3E804A45"/>
    <w:rsid w:val="3E815385"/>
    <w:rsid w:val="3E8E5BBA"/>
    <w:rsid w:val="3E951DAA"/>
    <w:rsid w:val="3EA42E21"/>
    <w:rsid w:val="3EA435B4"/>
    <w:rsid w:val="3EA572C5"/>
    <w:rsid w:val="3EAD7F28"/>
    <w:rsid w:val="3EB43064"/>
    <w:rsid w:val="3EB56DDC"/>
    <w:rsid w:val="3EB86069"/>
    <w:rsid w:val="3EBC63BD"/>
    <w:rsid w:val="3ECE69ED"/>
    <w:rsid w:val="3ED2798E"/>
    <w:rsid w:val="3EDA1A7B"/>
    <w:rsid w:val="3EDC10FF"/>
    <w:rsid w:val="3EFB6EE5"/>
    <w:rsid w:val="3EFD0EAF"/>
    <w:rsid w:val="3EFE69D5"/>
    <w:rsid w:val="3F057D64"/>
    <w:rsid w:val="3F0A5E23"/>
    <w:rsid w:val="3F19380F"/>
    <w:rsid w:val="3F3635BC"/>
    <w:rsid w:val="3F450160"/>
    <w:rsid w:val="3F473ED8"/>
    <w:rsid w:val="3F5E7474"/>
    <w:rsid w:val="3F785608"/>
    <w:rsid w:val="3F7D5B4C"/>
    <w:rsid w:val="3F9F3D14"/>
    <w:rsid w:val="3FAF7CCF"/>
    <w:rsid w:val="3FC85A59"/>
    <w:rsid w:val="3FC92B3F"/>
    <w:rsid w:val="3FD419E5"/>
    <w:rsid w:val="3FD87226"/>
    <w:rsid w:val="3FFEC4E3"/>
    <w:rsid w:val="400022D9"/>
    <w:rsid w:val="400242A3"/>
    <w:rsid w:val="400E2C48"/>
    <w:rsid w:val="402734A4"/>
    <w:rsid w:val="40302BBE"/>
    <w:rsid w:val="40316936"/>
    <w:rsid w:val="403326AF"/>
    <w:rsid w:val="404B79F8"/>
    <w:rsid w:val="404E1296"/>
    <w:rsid w:val="40534AFF"/>
    <w:rsid w:val="405A4873"/>
    <w:rsid w:val="406227B1"/>
    <w:rsid w:val="40632F94"/>
    <w:rsid w:val="40730CFD"/>
    <w:rsid w:val="40750F19"/>
    <w:rsid w:val="407B3EBF"/>
    <w:rsid w:val="40873378"/>
    <w:rsid w:val="409018AF"/>
    <w:rsid w:val="40A833C5"/>
    <w:rsid w:val="40AB66E9"/>
    <w:rsid w:val="40BF3F42"/>
    <w:rsid w:val="40D75730"/>
    <w:rsid w:val="40DF693D"/>
    <w:rsid w:val="40F16A8E"/>
    <w:rsid w:val="40F47293"/>
    <w:rsid w:val="410B71F0"/>
    <w:rsid w:val="410F4ECA"/>
    <w:rsid w:val="412545BE"/>
    <w:rsid w:val="41265D6F"/>
    <w:rsid w:val="412C782A"/>
    <w:rsid w:val="41354204"/>
    <w:rsid w:val="414601C0"/>
    <w:rsid w:val="41523008"/>
    <w:rsid w:val="41546D80"/>
    <w:rsid w:val="4157061F"/>
    <w:rsid w:val="415B1EBD"/>
    <w:rsid w:val="4162324B"/>
    <w:rsid w:val="41670862"/>
    <w:rsid w:val="417A049F"/>
    <w:rsid w:val="4184340D"/>
    <w:rsid w:val="41A2189A"/>
    <w:rsid w:val="41BA3087"/>
    <w:rsid w:val="41BA63DF"/>
    <w:rsid w:val="41DA218D"/>
    <w:rsid w:val="41E21275"/>
    <w:rsid w:val="41FA16D6"/>
    <w:rsid w:val="41FF6CEC"/>
    <w:rsid w:val="420F2CA7"/>
    <w:rsid w:val="42134546"/>
    <w:rsid w:val="422E5823"/>
    <w:rsid w:val="42482C99"/>
    <w:rsid w:val="425D1C65"/>
    <w:rsid w:val="427C033D"/>
    <w:rsid w:val="427D40B5"/>
    <w:rsid w:val="428359FE"/>
    <w:rsid w:val="428B67D2"/>
    <w:rsid w:val="428F04EE"/>
    <w:rsid w:val="42964070"/>
    <w:rsid w:val="42A258CA"/>
    <w:rsid w:val="42A33B1C"/>
    <w:rsid w:val="42A65062"/>
    <w:rsid w:val="42B86E9B"/>
    <w:rsid w:val="42BC4BDD"/>
    <w:rsid w:val="42D67AEC"/>
    <w:rsid w:val="42DD6C79"/>
    <w:rsid w:val="42F51E2A"/>
    <w:rsid w:val="42F6152E"/>
    <w:rsid w:val="42FF6CFF"/>
    <w:rsid w:val="430F2571"/>
    <w:rsid w:val="43122A4F"/>
    <w:rsid w:val="432664FB"/>
    <w:rsid w:val="43543068"/>
    <w:rsid w:val="436332AB"/>
    <w:rsid w:val="43650DD1"/>
    <w:rsid w:val="436F7EA2"/>
    <w:rsid w:val="43771108"/>
    <w:rsid w:val="43803E5D"/>
    <w:rsid w:val="438C4E1A"/>
    <w:rsid w:val="43CF26EE"/>
    <w:rsid w:val="43D83956"/>
    <w:rsid w:val="43D9356D"/>
    <w:rsid w:val="43DC1563"/>
    <w:rsid w:val="440B5E1C"/>
    <w:rsid w:val="44307631"/>
    <w:rsid w:val="4440126D"/>
    <w:rsid w:val="4441183E"/>
    <w:rsid w:val="445E4335"/>
    <w:rsid w:val="446523D2"/>
    <w:rsid w:val="44665B93"/>
    <w:rsid w:val="448D476B"/>
    <w:rsid w:val="44A8366B"/>
    <w:rsid w:val="44AD6ED3"/>
    <w:rsid w:val="44BC7116"/>
    <w:rsid w:val="44C47D79"/>
    <w:rsid w:val="44CE3E51"/>
    <w:rsid w:val="44D34460"/>
    <w:rsid w:val="44DA0696"/>
    <w:rsid w:val="44DC3315"/>
    <w:rsid w:val="44DF4BB3"/>
    <w:rsid w:val="44E45943"/>
    <w:rsid w:val="45062140"/>
    <w:rsid w:val="45252F0E"/>
    <w:rsid w:val="45311A25"/>
    <w:rsid w:val="453273D9"/>
    <w:rsid w:val="4540269D"/>
    <w:rsid w:val="45561319"/>
    <w:rsid w:val="457004A6"/>
    <w:rsid w:val="45774DEB"/>
    <w:rsid w:val="4583380E"/>
    <w:rsid w:val="45863281"/>
    <w:rsid w:val="45993146"/>
    <w:rsid w:val="45AB6B4A"/>
    <w:rsid w:val="45AD4D56"/>
    <w:rsid w:val="45C04B1A"/>
    <w:rsid w:val="45DC170E"/>
    <w:rsid w:val="45E32481"/>
    <w:rsid w:val="45EB3538"/>
    <w:rsid w:val="4619382C"/>
    <w:rsid w:val="46440499"/>
    <w:rsid w:val="46625A9C"/>
    <w:rsid w:val="466D6214"/>
    <w:rsid w:val="46752E4C"/>
    <w:rsid w:val="46771AC0"/>
    <w:rsid w:val="468477C0"/>
    <w:rsid w:val="46A9389A"/>
    <w:rsid w:val="46AA26AF"/>
    <w:rsid w:val="46B06807"/>
    <w:rsid w:val="46B502C1"/>
    <w:rsid w:val="46C6602A"/>
    <w:rsid w:val="46D87B0C"/>
    <w:rsid w:val="46E62229"/>
    <w:rsid w:val="46F506BE"/>
    <w:rsid w:val="472779D4"/>
    <w:rsid w:val="4736719C"/>
    <w:rsid w:val="47507FEA"/>
    <w:rsid w:val="475353E4"/>
    <w:rsid w:val="475C073D"/>
    <w:rsid w:val="4765280D"/>
    <w:rsid w:val="477C2B8D"/>
    <w:rsid w:val="47867C8A"/>
    <w:rsid w:val="47941C85"/>
    <w:rsid w:val="479B001B"/>
    <w:rsid w:val="47A53ADE"/>
    <w:rsid w:val="47AF4671"/>
    <w:rsid w:val="47B73EFD"/>
    <w:rsid w:val="47D03F49"/>
    <w:rsid w:val="47D21CE6"/>
    <w:rsid w:val="47DE73A4"/>
    <w:rsid w:val="480C3F11"/>
    <w:rsid w:val="480E5EDB"/>
    <w:rsid w:val="481D475D"/>
    <w:rsid w:val="48270D4B"/>
    <w:rsid w:val="483454E7"/>
    <w:rsid w:val="48427933"/>
    <w:rsid w:val="484511D1"/>
    <w:rsid w:val="48550218"/>
    <w:rsid w:val="485853A8"/>
    <w:rsid w:val="485D29BF"/>
    <w:rsid w:val="486E0FF2"/>
    <w:rsid w:val="48876507"/>
    <w:rsid w:val="488E0DCA"/>
    <w:rsid w:val="488F68F0"/>
    <w:rsid w:val="489D100D"/>
    <w:rsid w:val="48A14890"/>
    <w:rsid w:val="48AD528B"/>
    <w:rsid w:val="48B40105"/>
    <w:rsid w:val="48CB62BE"/>
    <w:rsid w:val="48D34A2F"/>
    <w:rsid w:val="48D82045"/>
    <w:rsid w:val="48D92E5A"/>
    <w:rsid w:val="48EF7956"/>
    <w:rsid w:val="48F210AD"/>
    <w:rsid w:val="48FC2D2D"/>
    <w:rsid w:val="49033A36"/>
    <w:rsid w:val="49066BB2"/>
    <w:rsid w:val="49080B7C"/>
    <w:rsid w:val="491A1A56"/>
    <w:rsid w:val="494E2307"/>
    <w:rsid w:val="49725FF6"/>
    <w:rsid w:val="49AF0FF8"/>
    <w:rsid w:val="49BA799D"/>
    <w:rsid w:val="49C03205"/>
    <w:rsid w:val="49C8030C"/>
    <w:rsid w:val="49CA7BE0"/>
    <w:rsid w:val="49D56585"/>
    <w:rsid w:val="49E41A5C"/>
    <w:rsid w:val="49F42EAF"/>
    <w:rsid w:val="49F96717"/>
    <w:rsid w:val="4A0330F2"/>
    <w:rsid w:val="4A0425E4"/>
    <w:rsid w:val="4A0B3E41"/>
    <w:rsid w:val="4A0F5F3A"/>
    <w:rsid w:val="4A116313"/>
    <w:rsid w:val="4A30015B"/>
    <w:rsid w:val="4A4C0CEF"/>
    <w:rsid w:val="4A537341"/>
    <w:rsid w:val="4A67403B"/>
    <w:rsid w:val="4A6873F9"/>
    <w:rsid w:val="4A734E79"/>
    <w:rsid w:val="4A9401EE"/>
    <w:rsid w:val="4A965B62"/>
    <w:rsid w:val="4AA11346"/>
    <w:rsid w:val="4AB663B6"/>
    <w:rsid w:val="4ABB577A"/>
    <w:rsid w:val="4ACF7478"/>
    <w:rsid w:val="4AD27698"/>
    <w:rsid w:val="4AD54A8E"/>
    <w:rsid w:val="4AD842E5"/>
    <w:rsid w:val="4AF173EE"/>
    <w:rsid w:val="4B1B114F"/>
    <w:rsid w:val="4B241572"/>
    <w:rsid w:val="4B245A16"/>
    <w:rsid w:val="4B250368"/>
    <w:rsid w:val="4B296806"/>
    <w:rsid w:val="4B30028E"/>
    <w:rsid w:val="4B3A2EE9"/>
    <w:rsid w:val="4B6202EC"/>
    <w:rsid w:val="4B773D97"/>
    <w:rsid w:val="4B7F6C9B"/>
    <w:rsid w:val="4B831385"/>
    <w:rsid w:val="4B942912"/>
    <w:rsid w:val="4BA17066"/>
    <w:rsid w:val="4BB01238"/>
    <w:rsid w:val="4BDC1E4C"/>
    <w:rsid w:val="4BE807F1"/>
    <w:rsid w:val="4BEB02E1"/>
    <w:rsid w:val="4BF93ABC"/>
    <w:rsid w:val="4C0118B3"/>
    <w:rsid w:val="4C013661"/>
    <w:rsid w:val="4C041138"/>
    <w:rsid w:val="4C143394"/>
    <w:rsid w:val="4C2F1AF1"/>
    <w:rsid w:val="4C3227B2"/>
    <w:rsid w:val="4C3E6663"/>
    <w:rsid w:val="4C3F1A69"/>
    <w:rsid w:val="4C4A325A"/>
    <w:rsid w:val="4C4C7D4D"/>
    <w:rsid w:val="4C523EBC"/>
    <w:rsid w:val="4C5D558D"/>
    <w:rsid w:val="4C692E82"/>
    <w:rsid w:val="4C7402D7"/>
    <w:rsid w:val="4C793B3F"/>
    <w:rsid w:val="4C96649F"/>
    <w:rsid w:val="4C974380"/>
    <w:rsid w:val="4CA7336B"/>
    <w:rsid w:val="4CBC48BA"/>
    <w:rsid w:val="4CC006FA"/>
    <w:rsid w:val="4CCF375F"/>
    <w:rsid w:val="4CFF4044"/>
    <w:rsid w:val="4D001539"/>
    <w:rsid w:val="4D007DBC"/>
    <w:rsid w:val="4D060FF1"/>
    <w:rsid w:val="4D0E4287"/>
    <w:rsid w:val="4D2C0BB1"/>
    <w:rsid w:val="4D355CB8"/>
    <w:rsid w:val="4D371A30"/>
    <w:rsid w:val="4D3857A8"/>
    <w:rsid w:val="4D3A1520"/>
    <w:rsid w:val="4D415E97"/>
    <w:rsid w:val="4D4C4DB0"/>
    <w:rsid w:val="4D544EE2"/>
    <w:rsid w:val="4D553DB6"/>
    <w:rsid w:val="4D5C3245"/>
    <w:rsid w:val="4D64659D"/>
    <w:rsid w:val="4D665E71"/>
    <w:rsid w:val="4D714797"/>
    <w:rsid w:val="4D772C55"/>
    <w:rsid w:val="4D7809BA"/>
    <w:rsid w:val="4D9F0EEA"/>
    <w:rsid w:val="4DA218C8"/>
    <w:rsid w:val="4DAD3AA0"/>
    <w:rsid w:val="4DB356B2"/>
    <w:rsid w:val="4E076C63"/>
    <w:rsid w:val="4E0F02B7"/>
    <w:rsid w:val="4E1C7C33"/>
    <w:rsid w:val="4E233D62"/>
    <w:rsid w:val="4E2E4192"/>
    <w:rsid w:val="4E5372A6"/>
    <w:rsid w:val="4E683E6B"/>
    <w:rsid w:val="4E7D7917"/>
    <w:rsid w:val="4E834EF3"/>
    <w:rsid w:val="4E8F13F8"/>
    <w:rsid w:val="4E987C75"/>
    <w:rsid w:val="4EAA6232"/>
    <w:rsid w:val="4ED432AF"/>
    <w:rsid w:val="4EE84621"/>
    <w:rsid w:val="4EE94FAC"/>
    <w:rsid w:val="4EEF633A"/>
    <w:rsid w:val="4EF851EF"/>
    <w:rsid w:val="4EFB6A8D"/>
    <w:rsid w:val="4F095D32"/>
    <w:rsid w:val="4F1A4882"/>
    <w:rsid w:val="4F2A1121"/>
    <w:rsid w:val="4F3C4DEC"/>
    <w:rsid w:val="4F471CD3"/>
    <w:rsid w:val="4F5735E6"/>
    <w:rsid w:val="4F610FE6"/>
    <w:rsid w:val="4F63135E"/>
    <w:rsid w:val="4F7F76BE"/>
    <w:rsid w:val="4F806F93"/>
    <w:rsid w:val="4F9D1386"/>
    <w:rsid w:val="4FA95B6E"/>
    <w:rsid w:val="4FAE3B00"/>
    <w:rsid w:val="4FB235F0"/>
    <w:rsid w:val="4FB37368"/>
    <w:rsid w:val="4FC60E49"/>
    <w:rsid w:val="4FE4141D"/>
    <w:rsid w:val="4FF43C08"/>
    <w:rsid w:val="4FF534DD"/>
    <w:rsid w:val="4FFD6F40"/>
    <w:rsid w:val="5012408F"/>
    <w:rsid w:val="5019541D"/>
    <w:rsid w:val="50334005"/>
    <w:rsid w:val="504900D3"/>
    <w:rsid w:val="504E5242"/>
    <w:rsid w:val="50504BB7"/>
    <w:rsid w:val="506D39BB"/>
    <w:rsid w:val="50897743"/>
    <w:rsid w:val="50940F47"/>
    <w:rsid w:val="50B25872"/>
    <w:rsid w:val="50B36711"/>
    <w:rsid w:val="50C03AEB"/>
    <w:rsid w:val="50C603F0"/>
    <w:rsid w:val="50E3057E"/>
    <w:rsid w:val="50F85E5C"/>
    <w:rsid w:val="50FA60E8"/>
    <w:rsid w:val="510521E6"/>
    <w:rsid w:val="51183927"/>
    <w:rsid w:val="51275703"/>
    <w:rsid w:val="51356C07"/>
    <w:rsid w:val="51363DAD"/>
    <w:rsid w:val="51542485"/>
    <w:rsid w:val="515F3303"/>
    <w:rsid w:val="51606891"/>
    <w:rsid w:val="51850890"/>
    <w:rsid w:val="519F1952"/>
    <w:rsid w:val="51A0391C"/>
    <w:rsid w:val="51CE66DB"/>
    <w:rsid w:val="51CF1A7E"/>
    <w:rsid w:val="51FA74D0"/>
    <w:rsid w:val="522D1654"/>
    <w:rsid w:val="52326C6A"/>
    <w:rsid w:val="525C3CE7"/>
    <w:rsid w:val="526861E8"/>
    <w:rsid w:val="52720E14"/>
    <w:rsid w:val="52742DDF"/>
    <w:rsid w:val="52750905"/>
    <w:rsid w:val="527821A3"/>
    <w:rsid w:val="52892F5B"/>
    <w:rsid w:val="52992845"/>
    <w:rsid w:val="52A42F98"/>
    <w:rsid w:val="52A5743C"/>
    <w:rsid w:val="52AB07CA"/>
    <w:rsid w:val="52B70F1D"/>
    <w:rsid w:val="52BA229E"/>
    <w:rsid w:val="52C750D6"/>
    <w:rsid w:val="52CD24EF"/>
    <w:rsid w:val="52ED2B91"/>
    <w:rsid w:val="52EF06B7"/>
    <w:rsid w:val="52F43F1F"/>
    <w:rsid w:val="52F61709"/>
    <w:rsid w:val="52FD1026"/>
    <w:rsid w:val="530A3743"/>
    <w:rsid w:val="53130849"/>
    <w:rsid w:val="53163E96"/>
    <w:rsid w:val="531C0ED2"/>
    <w:rsid w:val="5322283B"/>
    <w:rsid w:val="532760A3"/>
    <w:rsid w:val="533D5FFD"/>
    <w:rsid w:val="53400F13"/>
    <w:rsid w:val="534B14FC"/>
    <w:rsid w:val="53513120"/>
    <w:rsid w:val="536A5F90"/>
    <w:rsid w:val="53990623"/>
    <w:rsid w:val="53A5346C"/>
    <w:rsid w:val="53BA548C"/>
    <w:rsid w:val="53BB4A3D"/>
    <w:rsid w:val="53C12BDF"/>
    <w:rsid w:val="53C85124"/>
    <w:rsid w:val="53DB785D"/>
    <w:rsid w:val="53DE3845"/>
    <w:rsid w:val="53DF5C01"/>
    <w:rsid w:val="53FF2B7C"/>
    <w:rsid w:val="5406215C"/>
    <w:rsid w:val="54073585"/>
    <w:rsid w:val="540E1011"/>
    <w:rsid w:val="541C372E"/>
    <w:rsid w:val="54244390"/>
    <w:rsid w:val="5429409D"/>
    <w:rsid w:val="54364B2F"/>
    <w:rsid w:val="54557A52"/>
    <w:rsid w:val="545A4AAC"/>
    <w:rsid w:val="546B1FBF"/>
    <w:rsid w:val="54745318"/>
    <w:rsid w:val="54995B0C"/>
    <w:rsid w:val="54DB7C79"/>
    <w:rsid w:val="54E3117F"/>
    <w:rsid w:val="54E74E26"/>
    <w:rsid w:val="54F93A6F"/>
    <w:rsid w:val="55012924"/>
    <w:rsid w:val="55085A60"/>
    <w:rsid w:val="550D4D66"/>
    <w:rsid w:val="55173EF5"/>
    <w:rsid w:val="55200C41"/>
    <w:rsid w:val="552A1E7A"/>
    <w:rsid w:val="554F0976"/>
    <w:rsid w:val="55580A4D"/>
    <w:rsid w:val="556343C9"/>
    <w:rsid w:val="557355CF"/>
    <w:rsid w:val="557C48FE"/>
    <w:rsid w:val="55A014F9"/>
    <w:rsid w:val="55AD03B6"/>
    <w:rsid w:val="55B45B96"/>
    <w:rsid w:val="55C4407D"/>
    <w:rsid w:val="55D1679A"/>
    <w:rsid w:val="55DC1770"/>
    <w:rsid w:val="55EB22AC"/>
    <w:rsid w:val="56097CE2"/>
    <w:rsid w:val="561133F2"/>
    <w:rsid w:val="56293EE0"/>
    <w:rsid w:val="56535401"/>
    <w:rsid w:val="56571FFA"/>
    <w:rsid w:val="565D3B8A"/>
    <w:rsid w:val="56A33BE9"/>
    <w:rsid w:val="56A92CC7"/>
    <w:rsid w:val="56AB0D99"/>
    <w:rsid w:val="56AB47B8"/>
    <w:rsid w:val="56CB31E9"/>
    <w:rsid w:val="56F20776"/>
    <w:rsid w:val="56FE711B"/>
    <w:rsid w:val="574A2360"/>
    <w:rsid w:val="574D2A94"/>
    <w:rsid w:val="57565486"/>
    <w:rsid w:val="577742CD"/>
    <w:rsid w:val="577C2B01"/>
    <w:rsid w:val="57842C6E"/>
    <w:rsid w:val="579D4B86"/>
    <w:rsid w:val="57A45887"/>
    <w:rsid w:val="57B106C6"/>
    <w:rsid w:val="57B65C47"/>
    <w:rsid w:val="57C02622"/>
    <w:rsid w:val="57DE0CFA"/>
    <w:rsid w:val="57E5652D"/>
    <w:rsid w:val="57FD7420"/>
    <w:rsid w:val="5813797B"/>
    <w:rsid w:val="58240E03"/>
    <w:rsid w:val="582651B2"/>
    <w:rsid w:val="58550FBC"/>
    <w:rsid w:val="58676F42"/>
    <w:rsid w:val="586C0B52"/>
    <w:rsid w:val="58896D5E"/>
    <w:rsid w:val="58977827"/>
    <w:rsid w:val="58AB32D2"/>
    <w:rsid w:val="58B06B3A"/>
    <w:rsid w:val="58B76069"/>
    <w:rsid w:val="58BD10F2"/>
    <w:rsid w:val="58CA4491"/>
    <w:rsid w:val="58CD3249"/>
    <w:rsid w:val="58CD33C2"/>
    <w:rsid w:val="58CF405E"/>
    <w:rsid w:val="58E93DFA"/>
    <w:rsid w:val="58F670FB"/>
    <w:rsid w:val="591F15CA"/>
    <w:rsid w:val="59253085"/>
    <w:rsid w:val="59260BAB"/>
    <w:rsid w:val="594D25DB"/>
    <w:rsid w:val="595B0854"/>
    <w:rsid w:val="596469D4"/>
    <w:rsid w:val="596A347D"/>
    <w:rsid w:val="596D0588"/>
    <w:rsid w:val="599975CF"/>
    <w:rsid w:val="59A26483"/>
    <w:rsid w:val="59B57AB7"/>
    <w:rsid w:val="59E072DC"/>
    <w:rsid w:val="59E70642"/>
    <w:rsid w:val="59F64A21"/>
    <w:rsid w:val="5A051A9B"/>
    <w:rsid w:val="5A081851"/>
    <w:rsid w:val="5A1A070F"/>
    <w:rsid w:val="5A2E5F69"/>
    <w:rsid w:val="5A3A2B60"/>
    <w:rsid w:val="5A435D8A"/>
    <w:rsid w:val="5A464899"/>
    <w:rsid w:val="5A662004"/>
    <w:rsid w:val="5A715E56"/>
    <w:rsid w:val="5A955FE8"/>
    <w:rsid w:val="5A987886"/>
    <w:rsid w:val="5A9C1D5C"/>
    <w:rsid w:val="5AA12BDF"/>
    <w:rsid w:val="5AA224B3"/>
    <w:rsid w:val="5AA60A7D"/>
    <w:rsid w:val="5AB36AEF"/>
    <w:rsid w:val="5AC363F3"/>
    <w:rsid w:val="5AE34FA5"/>
    <w:rsid w:val="5B10566E"/>
    <w:rsid w:val="5B157129"/>
    <w:rsid w:val="5B303F63"/>
    <w:rsid w:val="5B3102D8"/>
    <w:rsid w:val="5B3550D5"/>
    <w:rsid w:val="5B5A2D8E"/>
    <w:rsid w:val="5B5B0FE0"/>
    <w:rsid w:val="5B81656C"/>
    <w:rsid w:val="5B8B1199"/>
    <w:rsid w:val="5BA26C0E"/>
    <w:rsid w:val="5BB10BFF"/>
    <w:rsid w:val="5BBC1D09"/>
    <w:rsid w:val="5BD743DE"/>
    <w:rsid w:val="5BDE39BF"/>
    <w:rsid w:val="5BE865EB"/>
    <w:rsid w:val="5BEF2725"/>
    <w:rsid w:val="5BF60D08"/>
    <w:rsid w:val="5BFA5811"/>
    <w:rsid w:val="5C1B251D"/>
    <w:rsid w:val="5C1D0043"/>
    <w:rsid w:val="5C1D6295"/>
    <w:rsid w:val="5C34380B"/>
    <w:rsid w:val="5C3B27D7"/>
    <w:rsid w:val="5C3B496D"/>
    <w:rsid w:val="5C3B671B"/>
    <w:rsid w:val="5C6B6331"/>
    <w:rsid w:val="5C8C341B"/>
    <w:rsid w:val="5C902F0B"/>
    <w:rsid w:val="5C910A31"/>
    <w:rsid w:val="5C973BB4"/>
    <w:rsid w:val="5CA3554E"/>
    <w:rsid w:val="5CA40764"/>
    <w:rsid w:val="5CAC3BFE"/>
    <w:rsid w:val="5CB36BF9"/>
    <w:rsid w:val="5CDA4186"/>
    <w:rsid w:val="5CE46DB3"/>
    <w:rsid w:val="5CE63CF3"/>
    <w:rsid w:val="5CF05758"/>
    <w:rsid w:val="5CFC6999"/>
    <w:rsid w:val="5CFF1508"/>
    <w:rsid w:val="5D025D0B"/>
    <w:rsid w:val="5D142F08"/>
    <w:rsid w:val="5D3E7A04"/>
    <w:rsid w:val="5D485594"/>
    <w:rsid w:val="5D4E06D0"/>
    <w:rsid w:val="5D603E5F"/>
    <w:rsid w:val="5D79399F"/>
    <w:rsid w:val="5D806ED8"/>
    <w:rsid w:val="5D867E6A"/>
    <w:rsid w:val="5D9F09A5"/>
    <w:rsid w:val="5DA03DC4"/>
    <w:rsid w:val="5DAB5B22"/>
    <w:rsid w:val="5DB60FC4"/>
    <w:rsid w:val="5DB91FED"/>
    <w:rsid w:val="5DC7295C"/>
    <w:rsid w:val="5DE352BC"/>
    <w:rsid w:val="5DFE3EA4"/>
    <w:rsid w:val="5E180F16"/>
    <w:rsid w:val="5E3B6EA6"/>
    <w:rsid w:val="5E3FDF58"/>
    <w:rsid w:val="5E4A533B"/>
    <w:rsid w:val="5E677C9B"/>
    <w:rsid w:val="5E747132"/>
    <w:rsid w:val="5E9E0F6B"/>
    <w:rsid w:val="5EA02F0E"/>
    <w:rsid w:val="5EA762EA"/>
    <w:rsid w:val="5EBB4E99"/>
    <w:rsid w:val="5EC155FD"/>
    <w:rsid w:val="5ECE1AC8"/>
    <w:rsid w:val="5EFF1C82"/>
    <w:rsid w:val="5F0E0117"/>
    <w:rsid w:val="5F28567D"/>
    <w:rsid w:val="5F3B6A32"/>
    <w:rsid w:val="5F482EDD"/>
    <w:rsid w:val="5F530220"/>
    <w:rsid w:val="5F553F98"/>
    <w:rsid w:val="5F593A88"/>
    <w:rsid w:val="5F5F701C"/>
    <w:rsid w:val="5F7206A6"/>
    <w:rsid w:val="5F893C41"/>
    <w:rsid w:val="5F8A0857"/>
    <w:rsid w:val="5F912AC4"/>
    <w:rsid w:val="5FAD7930"/>
    <w:rsid w:val="5FBF1411"/>
    <w:rsid w:val="5FC8476A"/>
    <w:rsid w:val="5FD14724"/>
    <w:rsid w:val="5FE01AB3"/>
    <w:rsid w:val="5FE5356E"/>
    <w:rsid w:val="5FE84E0C"/>
    <w:rsid w:val="5FEF1CF6"/>
    <w:rsid w:val="5FEF8784"/>
    <w:rsid w:val="5FF94923"/>
    <w:rsid w:val="5FFE462F"/>
    <w:rsid w:val="60193217"/>
    <w:rsid w:val="60234A74"/>
    <w:rsid w:val="602C4CF9"/>
    <w:rsid w:val="60335F84"/>
    <w:rsid w:val="603A68FA"/>
    <w:rsid w:val="603E2C7E"/>
    <w:rsid w:val="605B3830"/>
    <w:rsid w:val="605E6E7C"/>
    <w:rsid w:val="60700F30"/>
    <w:rsid w:val="607B7DDA"/>
    <w:rsid w:val="609D1752"/>
    <w:rsid w:val="609E085F"/>
    <w:rsid w:val="60A069DA"/>
    <w:rsid w:val="60A800F7"/>
    <w:rsid w:val="60B66CB8"/>
    <w:rsid w:val="60C05441"/>
    <w:rsid w:val="60C60F03"/>
    <w:rsid w:val="60C74A21"/>
    <w:rsid w:val="60D76025"/>
    <w:rsid w:val="60DB6859"/>
    <w:rsid w:val="60EC26DA"/>
    <w:rsid w:val="610C4B2A"/>
    <w:rsid w:val="611F660B"/>
    <w:rsid w:val="612956DC"/>
    <w:rsid w:val="61296823"/>
    <w:rsid w:val="613A0F30"/>
    <w:rsid w:val="613B0F6B"/>
    <w:rsid w:val="61730297"/>
    <w:rsid w:val="617A7CE6"/>
    <w:rsid w:val="6183303E"/>
    <w:rsid w:val="61A76748"/>
    <w:rsid w:val="61AD486F"/>
    <w:rsid w:val="61C827FF"/>
    <w:rsid w:val="61C96577"/>
    <w:rsid w:val="62020A4F"/>
    <w:rsid w:val="62064E83"/>
    <w:rsid w:val="62166F80"/>
    <w:rsid w:val="62205618"/>
    <w:rsid w:val="6252656D"/>
    <w:rsid w:val="626369CC"/>
    <w:rsid w:val="62662018"/>
    <w:rsid w:val="626C3AD2"/>
    <w:rsid w:val="627209BD"/>
    <w:rsid w:val="628F77C1"/>
    <w:rsid w:val="62A2314F"/>
    <w:rsid w:val="62B17737"/>
    <w:rsid w:val="62B731FE"/>
    <w:rsid w:val="62D6719E"/>
    <w:rsid w:val="62E55633"/>
    <w:rsid w:val="62EE098B"/>
    <w:rsid w:val="63023C80"/>
    <w:rsid w:val="630E6937"/>
    <w:rsid w:val="631F28F3"/>
    <w:rsid w:val="632611C8"/>
    <w:rsid w:val="63516D9E"/>
    <w:rsid w:val="6353259C"/>
    <w:rsid w:val="63612F0B"/>
    <w:rsid w:val="636D3AA1"/>
    <w:rsid w:val="637A3FCD"/>
    <w:rsid w:val="637F7835"/>
    <w:rsid w:val="639257BA"/>
    <w:rsid w:val="639D7CBB"/>
    <w:rsid w:val="639F1C85"/>
    <w:rsid w:val="63B85814"/>
    <w:rsid w:val="63C175B0"/>
    <w:rsid w:val="63DA241B"/>
    <w:rsid w:val="63DF02D4"/>
    <w:rsid w:val="63F43D7F"/>
    <w:rsid w:val="63F547DF"/>
    <w:rsid w:val="63FE0403"/>
    <w:rsid w:val="63FE69AC"/>
    <w:rsid w:val="6401649C"/>
    <w:rsid w:val="64041AE8"/>
    <w:rsid w:val="64124205"/>
    <w:rsid w:val="64151F48"/>
    <w:rsid w:val="64203D44"/>
    <w:rsid w:val="64223796"/>
    <w:rsid w:val="646349FD"/>
    <w:rsid w:val="64670E42"/>
    <w:rsid w:val="6481181A"/>
    <w:rsid w:val="6491119F"/>
    <w:rsid w:val="649E1F3D"/>
    <w:rsid w:val="64B26AFE"/>
    <w:rsid w:val="64CD637E"/>
    <w:rsid w:val="64CF0348"/>
    <w:rsid w:val="64E21E2A"/>
    <w:rsid w:val="64F22548"/>
    <w:rsid w:val="64F27F48"/>
    <w:rsid w:val="64FD6C64"/>
    <w:rsid w:val="651144BD"/>
    <w:rsid w:val="65136487"/>
    <w:rsid w:val="65183A9D"/>
    <w:rsid w:val="651C07A8"/>
    <w:rsid w:val="65240694"/>
    <w:rsid w:val="656062CA"/>
    <w:rsid w:val="65674A25"/>
    <w:rsid w:val="6576209D"/>
    <w:rsid w:val="659106E2"/>
    <w:rsid w:val="65AB236D"/>
    <w:rsid w:val="65B337C6"/>
    <w:rsid w:val="65B8080F"/>
    <w:rsid w:val="65BD4645"/>
    <w:rsid w:val="65CE23AE"/>
    <w:rsid w:val="65E63B9C"/>
    <w:rsid w:val="65F30067"/>
    <w:rsid w:val="65FC33BF"/>
    <w:rsid w:val="65FC6F1B"/>
    <w:rsid w:val="664010FE"/>
    <w:rsid w:val="66483EC5"/>
    <w:rsid w:val="665723A3"/>
    <w:rsid w:val="665C3E35"/>
    <w:rsid w:val="6663343E"/>
    <w:rsid w:val="666D44AA"/>
    <w:rsid w:val="666D606B"/>
    <w:rsid w:val="666F1DE3"/>
    <w:rsid w:val="66704DB4"/>
    <w:rsid w:val="667E2026"/>
    <w:rsid w:val="66897503"/>
    <w:rsid w:val="668D04BB"/>
    <w:rsid w:val="669A3257"/>
    <w:rsid w:val="66A03280"/>
    <w:rsid w:val="66BE0674"/>
    <w:rsid w:val="66CD4D5B"/>
    <w:rsid w:val="67092027"/>
    <w:rsid w:val="670D1F42"/>
    <w:rsid w:val="67102453"/>
    <w:rsid w:val="67192E02"/>
    <w:rsid w:val="672E57FA"/>
    <w:rsid w:val="673152EA"/>
    <w:rsid w:val="67317098"/>
    <w:rsid w:val="673B3A73"/>
    <w:rsid w:val="67475966"/>
    <w:rsid w:val="67915D89"/>
    <w:rsid w:val="6793565D"/>
    <w:rsid w:val="679A69EC"/>
    <w:rsid w:val="67A45ABC"/>
    <w:rsid w:val="67A4786A"/>
    <w:rsid w:val="67A54F4C"/>
    <w:rsid w:val="67D0065F"/>
    <w:rsid w:val="67FB3202"/>
    <w:rsid w:val="68082623"/>
    <w:rsid w:val="680F6D04"/>
    <w:rsid w:val="682843BC"/>
    <w:rsid w:val="682E1F64"/>
    <w:rsid w:val="683609D3"/>
    <w:rsid w:val="683923D1"/>
    <w:rsid w:val="686D2352"/>
    <w:rsid w:val="68815DFE"/>
    <w:rsid w:val="68A67F29"/>
    <w:rsid w:val="68C15CCA"/>
    <w:rsid w:val="68C33D20"/>
    <w:rsid w:val="68C53F3C"/>
    <w:rsid w:val="68CA1553"/>
    <w:rsid w:val="692225A6"/>
    <w:rsid w:val="69307849"/>
    <w:rsid w:val="69320EA6"/>
    <w:rsid w:val="69492530"/>
    <w:rsid w:val="697678E2"/>
    <w:rsid w:val="69782D5D"/>
    <w:rsid w:val="697D619C"/>
    <w:rsid w:val="69855479"/>
    <w:rsid w:val="69B97B6B"/>
    <w:rsid w:val="69C831E7"/>
    <w:rsid w:val="69E14DA6"/>
    <w:rsid w:val="69E55F18"/>
    <w:rsid w:val="69EC54F9"/>
    <w:rsid w:val="69EE3D79"/>
    <w:rsid w:val="69F525FF"/>
    <w:rsid w:val="6A026A5C"/>
    <w:rsid w:val="6A0E091D"/>
    <w:rsid w:val="6A0E546F"/>
    <w:rsid w:val="6A361C0E"/>
    <w:rsid w:val="6A445335"/>
    <w:rsid w:val="6A4733BB"/>
    <w:rsid w:val="6A551080"/>
    <w:rsid w:val="6A5A06B4"/>
    <w:rsid w:val="6A5E63F6"/>
    <w:rsid w:val="6A6634FD"/>
    <w:rsid w:val="6A746F87"/>
    <w:rsid w:val="6A815C41"/>
    <w:rsid w:val="6A9040D6"/>
    <w:rsid w:val="6A906E5D"/>
    <w:rsid w:val="6AAD2EDA"/>
    <w:rsid w:val="6ABA50AD"/>
    <w:rsid w:val="6ABA73A5"/>
    <w:rsid w:val="6AFB1E97"/>
    <w:rsid w:val="6B3709F5"/>
    <w:rsid w:val="6B3B6738"/>
    <w:rsid w:val="6B3E66B1"/>
    <w:rsid w:val="6B427AC6"/>
    <w:rsid w:val="6B58725B"/>
    <w:rsid w:val="6B6338E0"/>
    <w:rsid w:val="6B6712DB"/>
    <w:rsid w:val="6B673F9B"/>
    <w:rsid w:val="6B735ED1"/>
    <w:rsid w:val="6B79100E"/>
    <w:rsid w:val="6B79476D"/>
    <w:rsid w:val="6B9419A4"/>
    <w:rsid w:val="6BA3608B"/>
    <w:rsid w:val="6BA77929"/>
    <w:rsid w:val="6BA94127"/>
    <w:rsid w:val="6BC634DA"/>
    <w:rsid w:val="6BCD1928"/>
    <w:rsid w:val="6BCF0C2E"/>
    <w:rsid w:val="6BD405A8"/>
    <w:rsid w:val="6BD46244"/>
    <w:rsid w:val="6BD72179"/>
    <w:rsid w:val="6BD85E8F"/>
    <w:rsid w:val="6BD9385B"/>
    <w:rsid w:val="6BF942C0"/>
    <w:rsid w:val="6BFE46EA"/>
    <w:rsid w:val="6BFF7765"/>
    <w:rsid w:val="6C270A6A"/>
    <w:rsid w:val="6C2947E2"/>
    <w:rsid w:val="6C2A1A18"/>
    <w:rsid w:val="6C2B055A"/>
    <w:rsid w:val="6C2C2C28"/>
    <w:rsid w:val="6C6E6699"/>
    <w:rsid w:val="6C7930E8"/>
    <w:rsid w:val="6C7A6DEC"/>
    <w:rsid w:val="6C7F53F2"/>
    <w:rsid w:val="6C8B20CC"/>
    <w:rsid w:val="6C8E0AE9"/>
    <w:rsid w:val="6C991968"/>
    <w:rsid w:val="6CA36342"/>
    <w:rsid w:val="6CA84A13"/>
    <w:rsid w:val="6CA96F0F"/>
    <w:rsid w:val="6CB93DB8"/>
    <w:rsid w:val="6CD75780"/>
    <w:rsid w:val="6CD81D64"/>
    <w:rsid w:val="6CE95D1F"/>
    <w:rsid w:val="6CEC1954"/>
    <w:rsid w:val="6CED5810"/>
    <w:rsid w:val="6CFA1CDB"/>
    <w:rsid w:val="6CFC5A53"/>
    <w:rsid w:val="6CFD412D"/>
    <w:rsid w:val="6D1C261B"/>
    <w:rsid w:val="6D3E42BD"/>
    <w:rsid w:val="6D40540A"/>
    <w:rsid w:val="6D486EEA"/>
    <w:rsid w:val="6D4E3543"/>
    <w:rsid w:val="6D5F72F2"/>
    <w:rsid w:val="6D6A3304"/>
    <w:rsid w:val="6D75072F"/>
    <w:rsid w:val="6D885538"/>
    <w:rsid w:val="6D9B7580"/>
    <w:rsid w:val="6DC72505"/>
    <w:rsid w:val="6DCE0DB5"/>
    <w:rsid w:val="6DDF0C69"/>
    <w:rsid w:val="6DE85FD7"/>
    <w:rsid w:val="6DF1132F"/>
    <w:rsid w:val="6E0252EB"/>
    <w:rsid w:val="6E076DA5"/>
    <w:rsid w:val="6E512AA1"/>
    <w:rsid w:val="6E775CD9"/>
    <w:rsid w:val="6E9D034A"/>
    <w:rsid w:val="6EAB14DE"/>
    <w:rsid w:val="6EAB3BD4"/>
    <w:rsid w:val="6EBD1212"/>
    <w:rsid w:val="6EBE1B99"/>
    <w:rsid w:val="6ECB7DD2"/>
    <w:rsid w:val="6ED87C0A"/>
    <w:rsid w:val="6EDA6267"/>
    <w:rsid w:val="6F451933"/>
    <w:rsid w:val="6F547DC8"/>
    <w:rsid w:val="6F5C0A2B"/>
    <w:rsid w:val="6F687FED"/>
    <w:rsid w:val="6F8A7354"/>
    <w:rsid w:val="6F962FBC"/>
    <w:rsid w:val="6F9E1043"/>
    <w:rsid w:val="6FAD3A20"/>
    <w:rsid w:val="6FBE3493"/>
    <w:rsid w:val="6FCD1928"/>
    <w:rsid w:val="6FCF744E"/>
    <w:rsid w:val="6FE50A20"/>
    <w:rsid w:val="6FE620CD"/>
    <w:rsid w:val="6FF173C5"/>
    <w:rsid w:val="701B08E6"/>
    <w:rsid w:val="703D260A"/>
    <w:rsid w:val="704217E5"/>
    <w:rsid w:val="70433998"/>
    <w:rsid w:val="704A2F79"/>
    <w:rsid w:val="704F058F"/>
    <w:rsid w:val="705C4D2F"/>
    <w:rsid w:val="70A15B5A"/>
    <w:rsid w:val="70AD3C34"/>
    <w:rsid w:val="70B2124A"/>
    <w:rsid w:val="70C64CF5"/>
    <w:rsid w:val="70CD6084"/>
    <w:rsid w:val="70F52EE5"/>
    <w:rsid w:val="71106C43"/>
    <w:rsid w:val="71122145"/>
    <w:rsid w:val="71152000"/>
    <w:rsid w:val="711C4915"/>
    <w:rsid w:val="711D243B"/>
    <w:rsid w:val="711F61B4"/>
    <w:rsid w:val="71267542"/>
    <w:rsid w:val="713C0B14"/>
    <w:rsid w:val="71436346"/>
    <w:rsid w:val="71573B9F"/>
    <w:rsid w:val="715B774C"/>
    <w:rsid w:val="717E2EDA"/>
    <w:rsid w:val="719A47E6"/>
    <w:rsid w:val="71A1306D"/>
    <w:rsid w:val="71A60683"/>
    <w:rsid w:val="71B30838"/>
    <w:rsid w:val="71CA4371"/>
    <w:rsid w:val="71CD20B4"/>
    <w:rsid w:val="71D43238"/>
    <w:rsid w:val="71E04C6F"/>
    <w:rsid w:val="72125161"/>
    <w:rsid w:val="721756F7"/>
    <w:rsid w:val="722C0B88"/>
    <w:rsid w:val="7231680E"/>
    <w:rsid w:val="7258372B"/>
    <w:rsid w:val="7271666B"/>
    <w:rsid w:val="72862DE7"/>
    <w:rsid w:val="72916C3D"/>
    <w:rsid w:val="72A03324"/>
    <w:rsid w:val="72CB65F3"/>
    <w:rsid w:val="72D33EC5"/>
    <w:rsid w:val="72D52FCE"/>
    <w:rsid w:val="72DF5BFA"/>
    <w:rsid w:val="72E43211"/>
    <w:rsid w:val="73041B05"/>
    <w:rsid w:val="7306762B"/>
    <w:rsid w:val="730B2E93"/>
    <w:rsid w:val="73137F9A"/>
    <w:rsid w:val="7315161C"/>
    <w:rsid w:val="731C29AB"/>
    <w:rsid w:val="731D5D78"/>
    <w:rsid w:val="732D4BB8"/>
    <w:rsid w:val="733A72D5"/>
    <w:rsid w:val="733C129F"/>
    <w:rsid w:val="735465E8"/>
    <w:rsid w:val="737F73DD"/>
    <w:rsid w:val="738467A2"/>
    <w:rsid w:val="738B5D82"/>
    <w:rsid w:val="738D6FB8"/>
    <w:rsid w:val="73AD7AA7"/>
    <w:rsid w:val="73AF1A71"/>
    <w:rsid w:val="73BF6C6B"/>
    <w:rsid w:val="73C848E1"/>
    <w:rsid w:val="73C92407"/>
    <w:rsid w:val="73C96FD0"/>
    <w:rsid w:val="73F643A8"/>
    <w:rsid w:val="74031DBD"/>
    <w:rsid w:val="740578E3"/>
    <w:rsid w:val="74065409"/>
    <w:rsid w:val="740E531F"/>
    <w:rsid w:val="74143FCA"/>
    <w:rsid w:val="74416441"/>
    <w:rsid w:val="744228E5"/>
    <w:rsid w:val="74455F31"/>
    <w:rsid w:val="744E128A"/>
    <w:rsid w:val="7456013E"/>
    <w:rsid w:val="74577CFC"/>
    <w:rsid w:val="746565D3"/>
    <w:rsid w:val="746F1200"/>
    <w:rsid w:val="748527D2"/>
    <w:rsid w:val="749649DF"/>
    <w:rsid w:val="74BA1355"/>
    <w:rsid w:val="74BB2697"/>
    <w:rsid w:val="74C63D6F"/>
    <w:rsid w:val="74DD43BC"/>
    <w:rsid w:val="74E27C24"/>
    <w:rsid w:val="74FC0CE6"/>
    <w:rsid w:val="75273889"/>
    <w:rsid w:val="753528B6"/>
    <w:rsid w:val="75383CE8"/>
    <w:rsid w:val="75504B8E"/>
    <w:rsid w:val="7556B6C1"/>
    <w:rsid w:val="756A6A03"/>
    <w:rsid w:val="759063C7"/>
    <w:rsid w:val="759C4277"/>
    <w:rsid w:val="75A9488E"/>
    <w:rsid w:val="75D27948"/>
    <w:rsid w:val="75EB0D5A"/>
    <w:rsid w:val="76165DD7"/>
    <w:rsid w:val="762C55FB"/>
    <w:rsid w:val="76366479"/>
    <w:rsid w:val="763C6B82"/>
    <w:rsid w:val="76465F91"/>
    <w:rsid w:val="764F3097"/>
    <w:rsid w:val="7656661E"/>
    <w:rsid w:val="766F54E7"/>
    <w:rsid w:val="76726D86"/>
    <w:rsid w:val="7694316B"/>
    <w:rsid w:val="769767EC"/>
    <w:rsid w:val="76AA53F8"/>
    <w:rsid w:val="76C14052"/>
    <w:rsid w:val="76E61C4D"/>
    <w:rsid w:val="76E68039"/>
    <w:rsid w:val="76ED37EF"/>
    <w:rsid w:val="770F21D1"/>
    <w:rsid w:val="77204A34"/>
    <w:rsid w:val="77377C8E"/>
    <w:rsid w:val="77493F8A"/>
    <w:rsid w:val="776B7302"/>
    <w:rsid w:val="77894387"/>
    <w:rsid w:val="7794492F"/>
    <w:rsid w:val="77974CF6"/>
    <w:rsid w:val="77A15B74"/>
    <w:rsid w:val="77AB69F3"/>
    <w:rsid w:val="77B04009"/>
    <w:rsid w:val="77B92EBE"/>
    <w:rsid w:val="77BA69E0"/>
    <w:rsid w:val="77C81863"/>
    <w:rsid w:val="77CA12EB"/>
    <w:rsid w:val="77CF85C6"/>
    <w:rsid w:val="77D04141"/>
    <w:rsid w:val="77E3618D"/>
    <w:rsid w:val="77ED98B5"/>
    <w:rsid w:val="77FA0DEA"/>
    <w:rsid w:val="78300CA6"/>
    <w:rsid w:val="78351F1A"/>
    <w:rsid w:val="78370287"/>
    <w:rsid w:val="7866291A"/>
    <w:rsid w:val="786C40B9"/>
    <w:rsid w:val="78767001"/>
    <w:rsid w:val="78784A88"/>
    <w:rsid w:val="787B4617"/>
    <w:rsid w:val="78827754"/>
    <w:rsid w:val="78A7019A"/>
    <w:rsid w:val="78AD0549"/>
    <w:rsid w:val="78B663C1"/>
    <w:rsid w:val="78C06712"/>
    <w:rsid w:val="78D51252"/>
    <w:rsid w:val="78FD6DDA"/>
    <w:rsid w:val="790C34C1"/>
    <w:rsid w:val="792425B9"/>
    <w:rsid w:val="792702FB"/>
    <w:rsid w:val="79294073"/>
    <w:rsid w:val="79492020"/>
    <w:rsid w:val="79515378"/>
    <w:rsid w:val="79584959"/>
    <w:rsid w:val="795D1F6F"/>
    <w:rsid w:val="795D7E09"/>
    <w:rsid w:val="79717D6A"/>
    <w:rsid w:val="79730D79"/>
    <w:rsid w:val="79906C37"/>
    <w:rsid w:val="7993773F"/>
    <w:rsid w:val="79975481"/>
    <w:rsid w:val="799D1324"/>
    <w:rsid w:val="79A731EA"/>
    <w:rsid w:val="79A951B4"/>
    <w:rsid w:val="79BA3B0E"/>
    <w:rsid w:val="79C67B14"/>
    <w:rsid w:val="79CC2551"/>
    <w:rsid w:val="79F521A7"/>
    <w:rsid w:val="79FF4DD4"/>
    <w:rsid w:val="7A37796B"/>
    <w:rsid w:val="7A3E76AA"/>
    <w:rsid w:val="7A4B0019"/>
    <w:rsid w:val="7A4D1FE3"/>
    <w:rsid w:val="7A5769BE"/>
    <w:rsid w:val="7A7B26AD"/>
    <w:rsid w:val="7A8377B3"/>
    <w:rsid w:val="7A851068"/>
    <w:rsid w:val="7A8C2B0C"/>
    <w:rsid w:val="7A9B4AFD"/>
    <w:rsid w:val="7AA5597C"/>
    <w:rsid w:val="7ABB6962"/>
    <w:rsid w:val="7ABB6F4D"/>
    <w:rsid w:val="7AC63F1C"/>
    <w:rsid w:val="7AE2097E"/>
    <w:rsid w:val="7AF16E13"/>
    <w:rsid w:val="7AF4539C"/>
    <w:rsid w:val="7AF661D7"/>
    <w:rsid w:val="7AF97A75"/>
    <w:rsid w:val="7B046B46"/>
    <w:rsid w:val="7B2F5245"/>
    <w:rsid w:val="7B3242E2"/>
    <w:rsid w:val="7B3D5BB4"/>
    <w:rsid w:val="7B4C229B"/>
    <w:rsid w:val="7B6C0247"/>
    <w:rsid w:val="7B713AB0"/>
    <w:rsid w:val="7B7B048A"/>
    <w:rsid w:val="7B871525"/>
    <w:rsid w:val="7B892BA7"/>
    <w:rsid w:val="7BA6539F"/>
    <w:rsid w:val="7BB340C8"/>
    <w:rsid w:val="7BB67714"/>
    <w:rsid w:val="7BBA66E0"/>
    <w:rsid w:val="7BD72009"/>
    <w:rsid w:val="7BE87DC0"/>
    <w:rsid w:val="7BED1447"/>
    <w:rsid w:val="7BED92A8"/>
    <w:rsid w:val="7C013D85"/>
    <w:rsid w:val="7C073C4C"/>
    <w:rsid w:val="7C093CE8"/>
    <w:rsid w:val="7C15268D"/>
    <w:rsid w:val="7C1E59E5"/>
    <w:rsid w:val="7C211032"/>
    <w:rsid w:val="7C232FFC"/>
    <w:rsid w:val="7C276F98"/>
    <w:rsid w:val="7C3E1BE4"/>
    <w:rsid w:val="7C3F595C"/>
    <w:rsid w:val="7C407EB2"/>
    <w:rsid w:val="7C43544C"/>
    <w:rsid w:val="7C484810"/>
    <w:rsid w:val="7C507B69"/>
    <w:rsid w:val="7C52743D"/>
    <w:rsid w:val="7C5B39B2"/>
    <w:rsid w:val="7C63789C"/>
    <w:rsid w:val="7C662C4B"/>
    <w:rsid w:val="7C6B04FF"/>
    <w:rsid w:val="7C700617"/>
    <w:rsid w:val="7C8C202C"/>
    <w:rsid w:val="7C952929"/>
    <w:rsid w:val="7CA35EEB"/>
    <w:rsid w:val="7CAE4438"/>
    <w:rsid w:val="7CBC51FE"/>
    <w:rsid w:val="7CBE4AD3"/>
    <w:rsid w:val="7CC320E9"/>
    <w:rsid w:val="7CCF4F32"/>
    <w:rsid w:val="7CD95DB0"/>
    <w:rsid w:val="7CDB38D7"/>
    <w:rsid w:val="7CDB45ED"/>
    <w:rsid w:val="7CE92A73"/>
    <w:rsid w:val="7CF6426C"/>
    <w:rsid w:val="7CFA10AF"/>
    <w:rsid w:val="7D032E2D"/>
    <w:rsid w:val="7D080444"/>
    <w:rsid w:val="7D331240"/>
    <w:rsid w:val="7D40373A"/>
    <w:rsid w:val="7D4274B2"/>
    <w:rsid w:val="7D4551F4"/>
    <w:rsid w:val="7D951CD7"/>
    <w:rsid w:val="7D983576"/>
    <w:rsid w:val="7D99109C"/>
    <w:rsid w:val="7DB40A20"/>
    <w:rsid w:val="7DF6029C"/>
    <w:rsid w:val="7E0429B9"/>
    <w:rsid w:val="7E136A50"/>
    <w:rsid w:val="7E1C7D03"/>
    <w:rsid w:val="7E2117BD"/>
    <w:rsid w:val="7E2272E3"/>
    <w:rsid w:val="7E292420"/>
    <w:rsid w:val="7E3A6EB0"/>
    <w:rsid w:val="7E3E724A"/>
    <w:rsid w:val="7E49765A"/>
    <w:rsid w:val="7E4C0FEB"/>
    <w:rsid w:val="7E635932"/>
    <w:rsid w:val="7E7C79FD"/>
    <w:rsid w:val="7E7E09BD"/>
    <w:rsid w:val="7EBE0C5A"/>
    <w:rsid w:val="7EC65EC0"/>
    <w:rsid w:val="7EFB3C47"/>
    <w:rsid w:val="7F0A2251"/>
    <w:rsid w:val="7F0B7D77"/>
    <w:rsid w:val="7F183EE2"/>
    <w:rsid w:val="7F211349"/>
    <w:rsid w:val="7F4339B5"/>
    <w:rsid w:val="7F5114BE"/>
    <w:rsid w:val="7F581804"/>
    <w:rsid w:val="7F637BB3"/>
    <w:rsid w:val="7F643834"/>
    <w:rsid w:val="7F7E679B"/>
    <w:rsid w:val="7F850ECB"/>
    <w:rsid w:val="7F8F875D"/>
    <w:rsid w:val="7F9F1736"/>
    <w:rsid w:val="7FCC40D0"/>
    <w:rsid w:val="7FDEA73E"/>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9">
    <w:name w:val="heading 1"/>
    <w:basedOn w:val="1"/>
    <w:next w:val="1"/>
    <w:link w:val="59"/>
    <w:qFormat/>
    <w:uiPriority w:val="0"/>
    <w:pPr>
      <w:keepNext/>
      <w:outlineLvl w:val="0"/>
    </w:pPr>
    <w:rPr>
      <w:sz w:val="28"/>
      <w:szCs w:val="24"/>
    </w:rPr>
  </w:style>
  <w:style w:type="paragraph" w:styleId="10">
    <w:name w:val="heading 2"/>
    <w:basedOn w:val="1"/>
    <w:next w:val="1"/>
    <w:link w:val="110"/>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11">
    <w:name w:val="heading 3"/>
    <w:basedOn w:val="1"/>
    <w:next w:val="1"/>
    <w:link w:val="61"/>
    <w:qFormat/>
    <w:uiPriority w:val="0"/>
    <w:pPr>
      <w:keepNext/>
      <w:keepLines/>
      <w:spacing w:before="260" w:after="260" w:line="416" w:lineRule="auto"/>
      <w:outlineLvl w:val="2"/>
    </w:pPr>
    <w:rPr>
      <w:b/>
      <w:bCs/>
      <w:sz w:val="32"/>
      <w:szCs w:val="32"/>
      <w:lang w:val="zh-CN"/>
    </w:rPr>
  </w:style>
  <w:style w:type="paragraph" w:styleId="12">
    <w:name w:val="heading 4"/>
    <w:basedOn w:val="1"/>
    <w:next w:val="1"/>
    <w:link w:val="6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spacing w:line="400" w:lineRule="atLeast"/>
      <w:ind w:firstLine="426"/>
    </w:pPr>
    <w:rPr>
      <w:sz w:val="24"/>
      <w:szCs w:val="20"/>
    </w:rPr>
  </w:style>
  <w:style w:type="paragraph" w:styleId="3">
    <w:name w:val="Body Text"/>
    <w:basedOn w:val="1"/>
    <w:next w:val="4"/>
    <w:link w:val="75"/>
    <w:qFormat/>
    <w:uiPriority w:val="0"/>
    <w:pPr>
      <w:spacing w:after="120"/>
    </w:pPr>
    <w:rPr>
      <w:szCs w:val="24"/>
    </w:rPr>
  </w:style>
  <w:style w:type="paragraph" w:customStyle="1" w:styleId="4">
    <w:name w:val="目录 71"/>
    <w:basedOn w:val="1"/>
    <w:next w:val="1"/>
    <w:qFormat/>
    <w:uiPriority w:val="0"/>
    <w:pPr>
      <w:ind w:left="2520"/>
    </w:pPr>
    <w:rPr>
      <w:rFonts w:ascii="Calibri"/>
    </w:rPr>
  </w:style>
  <w:style w:type="paragraph" w:styleId="5">
    <w:name w:val="Body Text First Indent 2"/>
    <w:basedOn w:val="6"/>
    <w:next w:val="1"/>
    <w:qFormat/>
    <w:uiPriority w:val="0"/>
    <w:pPr>
      <w:tabs>
        <w:tab w:val="left" w:pos="0"/>
        <w:tab w:val="left" w:pos="993"/>
        <w:tab w:val="left" w:pos="1134"/>
      </w:tabs>
      <w:spacing w:after="120"/>
      <w:ind w:left="420" w:leftChars="200" w:firstLine="420"/>
    </w:pPr>
    <w:rPr>
      <w:sz w:val="21"/>
    </w:rPr>
  </w:style>
  <w:style w:type="paragraph" w:styleId="6">
    <w:name w:val="Body Text Indent"/>
    <w:basedOn w:val="1"/>
    <w:next w:val="7"/>
    <w:link w:val="64"/>
    <w:qFormat/>
    <w:uiPriority w:val="0"/>
    <w:pPr>
      <w:ind w:firstLine="540"/>
    </w:pPr>
    <w:rPr>
      <w:rFonts w:eastAsia="仿宋_GB2312"/>
      <w:sz w:val="28"/>
    </w:rPr>
  </w:style>
  <w:style w:type="paragraph" w:styleId="7">
    <w:name w:val="envelope return"/>
    <w:basedOn w:val="1"/>
    <w:next w:val="8"/>
    <w:qFormat/>
    <w:uiPriority w:val="0"/>
    <w:pPr>
      <w:snapToGrid w:val="0"/>
    </w:pPr>
    <w:rPr>
      <w:rFonts w:ascii="Arial" w:hAnsi="Arial"/>
    </w:rPr>
  </w:style>
  <w:style w:type="paragraph" w:styleId="8">
    <w:name w:val="toc 7"/>
    <w:basedOn w:val="1"/>
    <w:next w:val="1"/>
    <w:qFormat/>
    <w:uiPriority w:val="0"/>
    <w:pPr>
      <w:ind w:left="2520" w:leftChars="1200"/>
    </w:pPr>
  </w:style>
  <w:style w:type="paragraph" w:styleId="13">
    <w:name w:val="Normal Indent"/>
    <w:basedOn w:val="1"/>
    <w:qFormat/>
    <w:uiPriority w:val="0"/>
    <w:pPr>
      <w:ind w:firstLine="420" w:firstLineChars="200"/>
    </w:pPr>
  </w:style>
  <w:style w:type="paragraph" w:styleId="14">
    <w:name w:val="Document Map"/>
    <w:basedOn w:val="1"/>
    <w:link w:val="86"/>
    <w:qFormat/>
    <w:uiPriority w:val="0"/>
    <w:pPr>
      <w:shd w:val="clear" w:color="auto" w:fill="000080"/>
    </w:pPr>
  </w:style>
  <w:style w:type="paragraph" w:styleId="15">
    <w:name w:val="annotation text"/>
    <w:basedOn w:val="1"/>
    <w:link w:val="80"/>
    <w:semiHidden/>
    <w:qFormat/>
    <w:uiPriority w:val="99"/>
    <w:pPr>
      <w:jc w:val="left"/>
    </w:pPr>
  </w:style>
  <w:style w:type="paragraph" w:styleId="16">
    <w:name w:val="Body Text 3"/>
    <w:basedOn w:val="1"/>
    <w:link w:val="101"/>
    <w:unhideWhenUsed/>
    <w:qFormat/>
    <w:uiPriority w:val="99"/>
    <w:pPr>
      <w:spacing w:after="120"/>
    </w:pPr>
    <w:rPr>
      <w:rFonts w:ascii="Calibri" w:hAnsi="Calibri"/>
      <w:sz w:val="16"/>
      <w:szCs w:val="16"/>
      <w:lang w:val="zh-CN"/>
    </w:r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83"/>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63"/>
    <w:qFormat/>
    <w:uiPriority w:val="0"/>
    <w:rPr>
      <w:rFonts w:ascii="Arial" w:hAnsi="Arial" w:eastAsia="楷体_GB2312"/>
      <w:sz w:val="28"/>
    </w:rPr>
  </w:style>
  <w:style w:type="paragraph" w:styleId="22">
    <w:name w:val="Body Text Indent 2"/>
    <w:basedOn w:val="1"/>
    <w:link w:val="66"/>
    <w:qFormat/>
    <w:uiPriority w:val="0"/>
    <w:pPr>
      <w:tabs>
        <w:tab w:val="left" w:pos="720"/>
      </w:tabs>
      <w:ind w:right="-506" w:rightChars="-241" w:firstLine="538" w:firstLineChars="192"/>
    </w:pPr>
    <w:rPr>
      <w:rFonts w:eastAsia="仿宋_GB2312"/>
      <w:sz w:val="28"/>
    </w:rPr>
  </w:style>
  <w:style w:type="paragraph" w:styleId="23">
    <w:name w:val="Balloon Text"/>
    <w:basedOn w:val="1"/>
    <w:link w:val="77"/>
    <w:qFormat/>
    <w:uiPriority w:val="0"/>
    <w:rPr>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ind w:left="1260" w:leftChars="600"/>
    </w:pPr>
  </w:style>
  <w:style w:type="paragraph" w:styleId="28">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9">
    <w:name w:val="toc 6"/>
    <w:basedOn w:val="1"/>
    <w:next w:val="1"/>
    <w:qFormat/>
    <w:uiPriority w:val="0"/>
    <w:pPr>
      <w:ind w:left="2100" w:leftChars="1000"/>
    </w:pPr>
  </w:style>
  <w:style w:type="paragraph" w:styleId="30">
    <w:name w:val="Body Text Indent 3"/>
    <w:basedOn w:val="1"/>
    <w:link w:val="72"/>
    <w:qFormat/>
    <w:uiPriority w:val="0"/>
    <w:pPr>
      <w:ind w:left="178" w:leftChars="85" w:firstLine="560" w:firstLineChars="200"/>
    </w:pPr>
    <w:rPr>
      <w:rFonts w:ascii="仿宋_GB2312" w:hAnsi="Arial" w:eastAsia="仿宋_GB2312"/>
      <w:sz w:val="28"/>
      <w:szCs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style>
  <w:style w:type="paragraph" w:styleId="3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4">
    <w:name w:val="Normal (Web)"/>
    <w:basedOn w:val="1"/>
    <w:unhideWhenUsed/>
    <w:qFormat/>
    <w:uiPriority w:val="99"/>
    <w:pPr>
      <w:jc w:val="left"/>
    </w:pPr>
    <w:rPr>
      <w:kern w:val="0"/>
      <w:sz w:val="24"/>
    </w:rPr>
  </w:style>
  <w:style w:type="paragraph" w:styleId="35">
    <w:name w:val="index 1"/>
    <w:basedOn w:val="1"/>
    <w:next w:val="1"/>
    <w:semiHidden/>
    <w:qFormat/>
    <w:uiPriority w:val="0"/>
    <w:pPr>
      <w:jc w:val="center"/>
    </w:pPr>
    <w:rPr>
      <w:rFonts w:ascii="仿宋_GB2312" w:eastAsia="仿宋_GB2312"/>
      <w:b/>
      <w:bCs/>
      <w:sz w:val="28"/>
    </w:rPr>
  </w:style>
  <w:style w:type="paragraph" w:styleId="36">
    <w:name w:val="annotation subject"/>
    <w:basedOn w:val="15"/>
    <w:next w:val="15"/>
    <w:link w:val="81"/>
    <w:semiHidden/>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HTML Definition"/>
    <w:basedOn w:val="39"/>
    <w:semiHidden/>
    <w:unhideWhenUsed/>
    <w:qFormat/>
    <w:uiPriority w:val="99"/>
  </w:style>
  <w:style w:type="character" w:styleId="44">
    <w:name w:val="HTML Typewriter"/>
    <w:basedOn w:val="39"/>
    <w:semiHidden/>
    <w:unhideWhenUsed/>
    <w:qFormat/>
    <w:uiPriority w:val="99"/>
    <w:rPr>
      <w:rFonts w:hint="default" w:ascii="monospace" w:hAnsi="monospace" w:eastAsia="monospace" w:cs="monospace"/>
      <w:sz w:val="20"/>
    </w:rPr>
  </w:style>
  <w:style w:type="character" w:styleId="45">
    <w:name w:val="HTML Acronym"/>
    <w:basedOn w:val="39"/>
    <w:semiHidden/>
    <w:unhideWhenUsed/>
    <w:qFormat/>
    <w:uiPriority w:val="99"/>
  </w:style>
  <w:style w:type="character" w:styleId="46">
    <w:name w:val="HTML Variable"/>
    <w:basedOn w:val="39"/>
    <w:semiHidden/>
    <w:unhideWhenUsed/>
    <w:qFormat/>
    <w:uiPriority w:val="99"/>
  </w:style>
  <w:style w:type="character" w:styleId="47">
    <w:name w:val="Hyperlink"/>
    <w:basedOn w:val="39"/>
    <w:qFormat/>
    <w:uiPriority w:val="99"/>
    <w:rPr>
      <w:color w:val="333333"/>
      <w:u w:val="none"/>
    </w:rPr>
  </w:style>
  <w:style w:type="character" w:styleId="48">
    <w:name w:val="HTML Code"/>
    <w:basedOn w:val="39"/>
    <w:semiHidden/>
    <w:unhideWhenUsed/>
    <w:qFormat/>
    <w:uiPriority w:val="99"/>
    <w:rPr>
      <w:rFonts w:ascii="monospace" w:hAnsi="monospace" w:eastAsia="monospace" w:cs="monospace"/>
      <w:sz w:val="20"/>
    </w:rPr>
  </w:style>
  <w:style w:type="character" w:styleId="49">
    <w:name w:val="annotation reference"/>
    <w:semiHidden/>
    <w:qFormat/>
    <w:uiPriority w:val="99"/>
    <w:rPr>
      <w:sz w:val="21"/>
      <w:szCs w:val="21"/>
    </w:rPr>
  </w:style>
  <w:style w:type="character" w:styleId="50">
    <w:name w:val="HTML Cite"/>
    <w:basedOn w:val="39"/>
    <w:semiHidden/>
    <w:unhideWhenUsed/>
    <w:qFormat/>
    <w:uiPriority w:val="99"/>
  </w:style>
  <w:style w:type="character" w:styleId="51">
    <w:name w:val="HTML Keyboard"/>
    <w:basedOn w:val="39"/>
    <w:semiHidden/>
    <w:unhideWhenUsed/>
    <w:qFormat/>
    <w:uiPriority w:val="99"/>
    <w:rPr>
      <w:rFonts w:hint="default" w:ascii="monospace" w:hAnsi="monospace" w:eastAsia="monospace" w:cs="monospace"/>
      <w:sz w:val="20"/>
    </w:rPr>
  </w:style>
  <w:style w:type="character" w:styleId="52">
    <w:name w:val="HTML Sample"/>
    <w:basedOn w:val="39"/>
    <w:semiHidden/>
    <w:unhideWhenUsed/>
    <w:qFormat/>
    <w:uiPriority w:val="99"/>
    <w:rPr>
      <w:rFonts w:hint="default" w:ascii="monospace" w:hAnsi="monospace" w:eastAsia="monospace" w:cs="monospace"/>
    </w:rPr>
  </w:style>
  <w:style w:type="paragraph" w:customStyle="1" w:styleId="53">
    <w:name w:val="章节题目"/>
    <w:next w:val="1"/>
    <w:qFormat/>
    <w:uiPriority w:val="0"/>
    <w:pPr>
      <w:keepNext/>
      <w:keepLines/>
      <w:widowControl w:val="0"/>
      <w:spacing w:before="720" w:after="400" w:line="540" w:lineRule="atLeast"/>
      <w:ind w:right="2160"/>
      <w:jc w:val="both"/>
    </w:pPr>
    <w:rPr>
      <w:rFonts w:ascii="Arial" w:hAnsi="Arial" w:eastAsia="仿宋_GB2312" w:cs="Times New Roman"/>
      <w:spacing w:val="-40"/>
      <w:kern w:val="28"/>
      <w:sz w:val="60"/>
      <w:szCs w:val="32"/>
      <w:lang w:val="en-US" w:eastAsia="zh-CN" w:bidi="ar-SA"/>
    </w:rPr>
  </w:style>
  <w:style w:type="paragraph" w:customStyle="1" w:styleId="54">
    <w:name w:val="style4"/>
    <w:basedOn w:val="1"/>
    <w:next w:val="55"/>
    <w:qFormat/>
    <w:uiPriority w:val="0"/>
    <w:pPr>
      <w:widowControl/>
      <w:spacing w:before="280" w:after="280"/>
    </w:pPr>
    <w:rPr>
      <w:rFonts w:ascii="宋体"/>
      <w:sz w:val="18"/>
    </w:rPr>
  </w:style>
  <w:style w:type="paragraph" w:customStyle="1" w:styleId="5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56">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57">
    <w:name w:val="页眉 Char"/>
    <w:basedOn w:val="39"/>
    <w:link w:val="25"/>
    <w:qFormat/>
    <w:uiPriority w:val="0"/>
    <w:rPr>
      <w:sz w:val="18"/>
      <w:szCs w:val="18"/>
    </w:rPr>
  </w:style>
  <w:style w:type="character" w:customStyle="1" w:styleId="58">
    <w:name w:val="页脚 Char"/>
    <w:basedOn w:val="39"/>
    <w:link w:val="24"/>
    <w:qFormat/>
    <w:uiPriority w:val="0"/>
    <w:rPr>
      <w:sz w:val="18"/>
      <w:szCs w:val="18"/>
    </w:rPr>
  </w:style>
  <w:style w:type="character" w:customStyle="1" w:styleId="59">
    <w:name w:val="标题 1 Char"/>
    <w:basedOn w:val="39"/>
    <w:link w:val="9"/>
    <w:qFormat/>
    <w:uiPriority w:val="0"/>
    <w:rPr>
      <w:rFonts w:ascii="Times New Roman" w:hAnsi="Times New Roman" w:eastAsia="宋体" w:cs="Times New Roman"/>
      <w:sz w:val="28"/>
      <w:szCs w:val="24"/>
    </w:rPr>
  </w:style>
  <w:style w:type="character" w:customStyle="1" w:styleId="60">
    <w:name w:val="标题 2 Char"/>
    <w:basedOn w:val="39"/>
    <w:qFormat/>
    <w:uiPriority w:val="0"/>
    <w:rPr>
      <w:rFonts w:ascii="Arial" w:hAnsi="Arial" w:eastAsia="黑体" w:cs="Times New Roman"/>
      <w:b/>
      <w:kern w:val="0"/>
      <w:sz w:val="32"/>
      <w:szCs w:val="20"/>
    </w:rPr>
  </w:style>
  <w:style w:type="character" w:customStyle="1" w:styleId="61">
    <w:name w:val="标题 3 Char"/>
    <w:basedOn w:val="39"/>
    <w:link w:val="11"/>
    <w:qFormat/>
    <w:uiPriority w:val="0"/>
    <w:rPr>
      <w:rFonts w:ascii="Times New Roman" w:hAnsi="Times New Roman" w:eastAsia="宋体" w:cs="Times New Roman"/>
      <w:b/>
      <w:bCs/>
      <w:sz w:val="32"/>
      <w:szCs w:val="32"/>
      <w:lang w:val="zh-CN" w:eastAsia="zh-CN"/>
    </w:rPr>
  </w:style>
  <w:style w:type="character" w:customStyle="1" w:styleId="62">
    <w:name w:val="标题 4 Char"/>
    <w:basedOn w:val="39"/>
    <w:link w:val="12"/>
    <w:qFormat/>
    <w:uiPriority w:val="0"/>
    <w:rPr>
      <w:rFonts w:ascii="Arial" w:hAnsi="Arial" w:eastAsia="黑体" w:cs="Times New Roman"/>
      <w:b/>
      <w:kern w:val="0"/>
      <w:sz w:val="28"/>
      <w:szCs w:val="20"/>
    </w:rPr>
  </w:style>
  <w:style w:type="character" w:customStyle="1" w:styleId="63">
    <w:name w:val="日期 Char"/>
    <w:basedOn w:val="39"/>
    <w:link w:val="21"/>
    <w:qFormat/>
    <w:uiPriority w:val="0"/>
    <w:rPr>
      <w:rFonts w:ascii="Arial" w:hAnsi="Arial" w:eastAsia="楷体_GB2312" w:cs="Times New Roman"/>
      <w:sz w:val="28"/>
      <w:szCs w:val="20"/>
    </w:rPr>
  </w:style>
  <w:style w:type="character" w:customStyle="1" w:styleId="64">
    <w:name w:val="正文文本缩进 Char"/>
    <w:basedOn w:val="39"/>
    <w:link w:val="6"/>
    <w:qFormat/>
    <w:uiPriority w:val="0"/>
    <w:rPr>
      <w:rFonts w:ascii="Times New Roman" w:hAnsi="Times New Roman" w:eastAsia="仿宋_GB2312" w:cs="Times New Roman"/>
      <w:sz w:val="28"/>
      <w:szCs w:val="20"/>
    </w:rPr>
  </w:style>
  <w:style w:type="paragraph" w:customStyle="1" w:styleId="65">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6">
    <w:name w:val="正文文本缩进 2 Char"/>
    <w:basedOn w:val="39"/>
    <w:link w:val="22"/>
    <w:qFormat/>
    <w:uiPriority w:val="0"/>
    <w:rPr>
      <w:rFonts w:ascii="Times New Roman" w:hAnsi="Times New Roman" w:eastAsia="仿宋_GB2312" w:cs="Times New Roman"/>
      <w:sz w:val="28"/>
      <w:szCs w:val="20"/>
    </w:rPr>
  </w:style>
  <w:style w:type="paragraph" w:customStyle="1" w:styleId="67">
    <w:name w:val="样式1"/>
    <w:basedOn w:val="1"/>
    <w:qFormat/>
    <w:uiPriority w:val="0"/>
    <w:pPr>
      <w:numPr>
        <w:ilvl w:val="0"/>
        <w:numId w:val="1"/>
      </w:numPr>
      <w:adjustRightInd w:val="0"/>
      <w:textAlignment w:val="baseline"/>
    </w:pPr>
    <w:rPr>
      <w:rFonts w:ascii="宋体" w:hAnsi="宋体"/>
      <w:kern w:val="0"/>
    </w:rPr>
  </w:style>
  <w:style w:type="paragraph" w:customStyle="1" w:styleId="68">
    <w:name w:val="样式 宋体 五号 行距: 单倍行距"/>
    <w:basedOn w:val="1"/>
    <w:qFormat/>
    <w:uiPriority w:val="0"/>
    <w:pPr>
      <w:adjustRightInd w:val="0"/>
      <w:jc w:val="left"/>
      <w:textAlignment w:val="baseline"/>
    </w:pPr>
    <w:rPr>
      <w:rFonts w:ascii="宋体" w:hAnsi="宋体"/>
      <w:kern w:val="0"/>
    </w:rPr>
  </w:style>
  <w:style w:type="paragraph" w:customStyle="1" w:styleId="69">
    <w:name w:val="样式 标题 2 + 宋体 五号 行距: 单倍行距"/>
    <w:basedOn w:val="10"/>
    <w:qFormat/>
    <w:uiPriority w:val="0"/>
    <w:pPr>
      <w:spacing w:line="240" w:lineRule="auto"/>
    </w:pPr>
    <w:rPr>
      <w:rFonts w:ascii="宋体" w:hAnsi="宋体" w:eastAsia="宋体"/>
      <w:sz w:val="21"/>
    </w:rPr>
  </w:style>
  <w:style w:type="paragraph" w:customStyle="1" w:styleId="70">
    <w:name w:val="Char Char Char Char Char"/>
    <w:basedOn w:val="1"/>
    <w:qFormat/>
    <w:uiPriority w:val="0"/>
    <w:rPr>
      <w:rFonts w:ascii="Tahoma" w:hAnsi="Tahoma"/>
      <w:sz w:val="24"/>
    </w:rPr>
  </w:style>
  <w:style w:type="paragraph" w:customStyle="1" w:styleId="71">
    <w:name w:val="Char"/>
    <w:basedOn w:val="1"/>
    <w:qFormat/>
    <w:uiPriority w:val="0"/>
    <w:rPr>
      <w:rFonts w:ascii="Tahoma" w:hAnsi="Tahoma"/>
      <w:sz w:val="24"/>
    </w:rPr>
  </w:style>
  <w:style w:type="character" w:customStyle="1" w:styleId="72">
    <w:name w:val="正文文本缩进 3 Char"/>
    <w:basedOn w:val="39"/>
    <w:link w:val="30"/>
    <w:qFormat/>
    <w:uiPriority w:val="0"/>
    <w:rPr>
      <w:rFonts w:ascii="仿宋_GB2312" w:hAnsi="Arial" w:eastAsia="仿宋_GB2312" w:cs="Times New Roman"/>
      <w:sz w:val="28"/>
      <w:szCs w:val="24"/>
    </w:rPr>
  </w:style>
  <w:style w:type="paragraph" w:customStyle="1" w:styleId="73">
    <w:name w:val="Char1"/>
    <w:basedOn w:val="1"/>
    <w:qFormat/>
    <w:uiPriority w:val="0"/>
    <w:rPr>
      <w:rFonts w:ascii="Tahoma" w:hAnsi="Tahoma" w:eastAsia="仿宋_GB2312"/>
      <w:sz w:val="24"/>
    </w:rPr>
  </w:style>
  <w:style w:type="paragraph" w:customStyle="1" w:styleId="74">
    <w:name w:val="Char Char Char Char Char Char Char1 Char"/>
    <w:basedOn w:val="1"/>
    <w:qFormat/>
    <w:uiPriority w:val="0"/>
    <w:rPr>
      <w:rFonts w:ascii="Tahoma" w:hAnsi="Tahoma"/>
      <w:sz w:val="24"/>
    </w:rPr>
  </w:style>
  <w:style w:type="character" w:customStyle="1" w:styleId="75">
    <w:name w:val="正文文本 Char"/>
    <w:basedOn w:val="39"/>
    <w:link w:val="3"/>
    <w:qFormat/>
    <w:uiPriority w:val="0"/>
    <w:rPr>
      <w:rFonts w:ascii="Times New Roman" w:hAnsi="Times New Roman" w:eastAsia="宋体" w:cs="Times New Roman"/>
      <w:szCs w:val="24"/>
    </w:rPr>
  </w:style>
  <w:style w:type="paragraph" w:customStyle="1" w:styleId="76">
    <w:name w:val="Char Char Char Char"/>
    <w:basedOn w:val="1"/>
    <w:next w:val="1"/>
    <w:qFormat/>
    <w:uiPriority w:val="0"/>
    <w:pPr>
      <w:widowControl/>
      <w:spacing w:line="360" w:lineRule="auto"/>
      <w:jc w:val="left"/>
    </w:pPr>
  </w:style>
  <w:style w:type="character" w:customStyle="1" w:styleId="77">
    <w:name w:val="批注框文本 Char"/>
    <w:basedOn w:val="39"/>
    <w:link w:val="23"/>
    <w:qFormat/>
    <w:uiPriority w:val="0"/>
    <w:rPr>
      <w:rFonts w:ascii="Times New Roman" w:hAnsi="Times New Roman" w:eastAsia="宋体" w:cs="Times New Roman"/>
      <w:sz w:val="18"/>
      <w:szCs w:val="18"/>
    </w:rPr>
  </w:style>
  <w:style w:type="paragraph" w:customStyle="1" w:styleId="78">
    <w:name w:val="Char Char Char"/>
    <w:basedOn w:val="1"/>
    <w:qFormat/>
    <w:uiPriority w:val="0"/>
    <w:rPr>
      <w:rFonts w:ascii="Tahoma" w:hAnsi="Tahoma"/>
      <w:sz w:val="24"/>
    </w:rPr>
  </w:style>
  <w:style w:type="paragraph" w:customStyle="1" w:styleId="79">
    <w:name w:val="Char Char Char Char Char Char Char Char Char Char"/>
    <w:basedOn w:val="1"/>
    <w:qFormat/>
    <w:uiPriority w:val="0"/>
    <w:rPr>
      <w:rFonts w:ascii="Tahoma" w:hAnsi="Tahoma" w:cs="仿宋_GB2312"/>
      <w:sz w:val="24"/>
    </w:rPr>
  </w:style>
  <w:style w:type="character" w:customStyle="1" w:styleId="80">
    <w:name w:val="批注文字 Char"/>
    <w:basedOn w:val="39"/>
    <w:link w:val="15"/>
    <w:semiHidden/>
    <w:qFormat/>
    <w:uiPriority w:val="99"/>
    <w:rPr>
      <w:rFonts w:ascii="Times New Roman" w:hAnsi="Times New Roman" w:eastAsia="宋体" w:cs="Times New Roman"/>
      <w:szCs w:val="20"/>
    </w:rPr>
  </w:style>
  <w:style w:type="character" w:customStyle="1" w:styleId="81">
    <w:name w:val="批注主题 Char"/>
    <w:basedOn w:val="80"/>
    <w:link w:val="36"/>
    <w:semiHidden/>
    <w:qFormat/>
    <w:uiPriority w:val="99"/>
    <w:rPr>
      <w:rFonts w:ascii="Times New Roman" w:hAnsi="Times New Roman" w:eastAsia="宋体" w:cs="Times New Roman"/>
      <w:b/>
      <w:bCs/>
      <w:szCs w:val="20"/>
    </w:rPr>
  </w:style>
  <w:style w:type="paragraph" w:customStyle="1" w:styleId="82">
    <w:name w:val="Char Char Char Char Char Char"/>
    <w:basedOn w:val="1"/>
    <w:qFormat/>
    <w:uiPriority w:val="0"/>
  </w:style>
  <w:style w:type="character" w:customStyle="1" w:styleId="83">
    <w:name w:val="纯文本 Char"/>
    <w:link w:val="19"/>
    <w:qFormat/>
    <w:uiPriority w:val="0"/>
    <w:rPr>
      <w:rFonts w:ascii="宋体" w:hAnsi="Courier New" w:eastAsia="宋体"/>
    </w:rPr>
  </w:style>
  <w:style w:type="character" w:customStyle="1" w:styleId="84">
    <w:name w:val="纯文本 Char1"/>
    <w:basedOn w:val="39"/>
    <w:semiHidden/>
    <w:qFormat/>
    <w:uiPriority w:val="99"/>
    <w:rPr>
      <w:rFonts w:ascii="宋体" w:hAnsi="Courier New" w:eastAsia="宋体" w:cs="Courier New"/>
      <w:szCs w:val="21"/>
    </w:rPr>
  </w:style>
  <w:style w:type="paragraph" w:customStyle="1" w:styleId="85">
    <w:name w:val="Char12 Char Char Char"/>
    <w:basedOn w:val="1"/>
    <w:qFormat/>
    <w:uiPriority w:val="0"/>
  </w:style>
  <w:style w:type="character" w:customStyle="1" w:styleId="86">
    <w:name w:val="文档结构图 Char"/>
    <w:basedOn w:val="39"/>
    <w:link w:val="14"/>
    <w:qFormat/>
    <w:uiPriority w:val="0"/>
    <w:rPr>
      <w:rFonts w:ascii="Times New Roman" w:hAnsi="Times New Roman" w:eastAsia="宋体" w:cs="Times New Roman"/>
      <w:szCs w:val="20"/>
      <w:shd w:val="clear" w:color="auto" w:fill="000080"/>
    </w:rPr>
  </w:style>
  <w:style w:type="character" w:customStyle="1" w:styleId="87">
    <w:name w:val="style29"/>
    <w:qFormat/>
    <w:uiPriority w:val="0"/>
  </w:style>
  <w:style w:type="character" w:customStyle="1" w:styleId="88">
    <w:name w:val="正文1"/>
    <w:qFormat/>
    <w:uiPriority w:val="0"/>
  </w:style>
  <w:style w:type="character" w:customStyle="1" w:styleId="89">
    <w:name w:val="font11"/>
    <w:qFormat/>
    <w:uiPriority w:val="0"/>
    <w:rPr>
      <w:rFonts w:hint="default" w:ascii="Times New Roman" w:hAnsi="Times New Roman" w:cs="Times New Roman"/>
      <w:color w:val="3366FF"/>
      <w:sz w:val="24"/>
      <w:szCs w:val="24"/>
      <w:u w:val="none"/>
    </w:rPr>
  </w:style>
  <w:style w:type="character" w:customStyle="1" w:styleId="90">
    <w:name w:val="font21"/>
    <w:qFormat/>
    <w:uiPriority w:val="0"/>
    <w:rPr>
      <w:rFonts w:hint="eastAsia" w:ascii="宋体" w:hAnsi="宋体" w:eastAsia="宋体"/>
      <w:color w:val="3366FF"/>
      <w:sz w:val="24"/>
      <w:szCs w:val="24"/>
      <w:u w:val="none"/>
    </w:rPr>
  </w:style>
  <w:style w:type="paragraph" w:customStyle="1" w:styleId="91">
    <w:name w:val="Char Char15"/>
    <w:basedOn w:val="1"/>
    <w:qFormat/>
    <w:uiPriority w:val="0"/>
    <w:rPr>
      <w:rFonts w:ascii="Tahoma" w:hAnsi="Tahoma" w:eastAsia="仿宋_GB2312"/>
      <w:sz w:val="24"/>
    </w:rPr>
  </w:style>
  <w:style w:type="paragraph" w:customStyle="1" w:styleId="92">
    <w:name w:val="列出段落1"/>
    <w:basedOn w:val="1"/>
    <w:qFormat/>
    <w:uiPriority w:val="0"/>
    <w:pPr>
      <w:ind w:firstLine="420" w:firstLineChars="200"/>
    </w:pPr>
    <w:rPr>
      <w:rFonts w:ascii="Calibri" w:hAnsi="Calibri"/>
      <w:szCs w:val="22"/>
    </w:rPr>
  </w:style>
  <w:style w:type="paragraph" w:customStyle="1" w:styleId="93">
    <w:name w:val="Char2"/>
    <w:basedOn w:val="1"/>
    <w:qFormat/>
    <w:uiPriority w:val="0"/>
    <w:pPr>
      <w:tabs>
        <w:tab w:val="left" w:pos="360"/>
      </w:tabs>
    </w:pPr>
    <w:rPr>
      <w:sz w:val="24"/>
      <w:szCs w:val="24"/>
    </w:rPr>
  </w:style>
  <w:style w:type="paragraph" w:customStyle="1" w:styleId="94">
    <w:name w:val="Char16"/>
    <w:basedOn w:val="1"/>
    <w:qFormat/>
    <w:uiPriority w:val="0"/>
    <w:rPr>
      <w:rFonts w:ascii="Tahoma" w:hAnsi="Tahoma" w:eastAsia="仿宋_GB2312"/>
      <w:sz w:val="24"/>
    </w:rPr>
  </w:style>
  <w:style w:type="paragraph" w:customStyle="1" w:styleId="95">
    <w:name w:val="Char Char1"/>
    <w:basedOn w:val="1"/>
    <w:qFormat/>
    <w:uiPriority w:val="0"/>
    <w:rPr>
      <w:rFonts w:ascii="Tahoma" w:hAnsi="Tahoma"/>
      <w:sz w:val="24"/>
    </w:rPr>
  </w:style>
  <w:style w:type="paragraph" w:customStyle="1" w:styleId="96">
    <w:name w:val="Char Char Char Char Char Char Char"/>
    <w:basedOn w:val="1"/>
    <w:qFormat/>
    <w:uiPriority w:val="0"/>
    <w:rPr>
      <w:szCs w:val="24"/>
    </w:rPr>
  </w:style>
  <w:style w:type="paragraph" w:customStyle="1" w:styleId="97">
    <w:name w:val="Char Char"/>
    <w:basedOn w:val="1"/>
    <w:qFormat/>
    <w:uiPriority w:val="0"/>
    <w:rPr>
      <w:rFonts w:ascii="Tahoma" w:hAnsi="Tahoma" w:cs="仿宋_GB2312"/>
      <w:sz w:val="24"/>
    </w:rPr>
  </w:style>
  <w:style w:type="paragraph" w:customStyle="1" w:styleId="98">
    <w:name w:val="Char Char2"/>
    <w:basedOn w:val="1"/>
    <w:qFormat/>
    <w:uiPriority w:val="0"/>
    <w:rPr>
      <w:rFonts w:ascii="Tahoma" w:hAnsi="Tahoma" w:cs="仿宋_GB2312"/>
      <w:sz w:val="24"/>
    </w:rPr>
  </w:style>
  <w:style w:type="paragraph" w:customStyle="1" w:styleId="99">
    <w:name w:val="Char Char Char1"/>
    <w:basedOn w:val="1"/>
    <w:qFormat/>
    <w:uiPriority w:val="0"/>
    <w:rPr>
      <w:rFonts w:ascii="Tahoma" w:hAnsi="Tahoma"/>
      <w:sz w:val="24"/>
    </w:rPr>
  </w:style>
  <w:style w:type="paragraph" w:customStyle="1" w:styleId="100">
    <w:name w:val="D&amp;L"/>
    <w:basedOn w:val="25"/>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01">
    <w:name w:val="正文文本 3 Char"/>
    <w:basedOn w:val="39"/>
    <w:link w:val="16"/>
    <w:qFormat/>
    <w:uiPriority w:val="99"/>
    <w:rPr>
      <w:rFonts w:ascii="Calibri" w:hAnsi="Calibri" w:eastAsia="宋体" w:cs="Times New Roman"/>
      <w:sz w:val="16"/>
      <w:szCs w:val="16"/>
      <w:lang w:val="zh-CN" w:eastAsia="zh-CN"/>
    </w:rPr>
  </w:style>
  <w:style w:type="paragraph" w:customStyle="1" w:styleId="10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4">
    <w:name w:val="style23"/>
    <w:qFormat/>
    <w:uiPriority w:val="0"/>
    <w:rPr>
      <w:rFonts w:ascii="Times New Roman" w:hAnsi="Times New Roman" w:eastAsia="宋体"/>
    </w:rPr>
  </w:style>
  <w:style w:type="paragraph" w:customStyle="1" w:styleId="105">
    <w:name w:val="p0"/>
    <w:basedOn w:val="1"/>
    <w:qFormat/>
    <w:uiPriority w:val="0"/>
    <w:pPr>
      <w:widowControl/>
      <w:jc w:val="left"/>
    </w:pPr>
    <w:rPr>
      <w:rFonts w:ascii="等线" w:hAnsi="等线" w:eastAsia="等线" w:cs="等线"/>
      <w:kern w:val="0"/>
      <w:sz w:val="20"/>
      <w:szCs w:val="22"/>
    </w:rPr>
  </w:style>
  <w:style w:type="paragraph" w:customStyle="1" w:styleId="106">
    <w:name w:val="列表段落1"/>
    <w:basedOn w:val="1"/>
    <w:qFormat/>
    <w:uiPriority w:val="34"/>
    <w:pPr>
      <w:ind w:firstLine="420" w:firstLineChars="200"/>
    </w:pPr>
    <w:rPr>
      <w:szCs w:val="24"/>
    </w:rPr>
  </w:style>
  <w:style w:type="paragraph" w:customStyle="1" w:styleId="107">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8">
    <w:name w:val="List Paragraph"/>
    <w:basedOn w:val="1"/>
    <w:qFormat/>
    <w:uiPriority w:val="99"/>
    <w:pPr>
      <w:ind w:firstLine="420" w:firstLineChars="200"/>
    </w:pPr>
  </w:style>
  <w:style w:type="table" w:customStyle="1" w:styleId="109">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10">
    <w:name w:val="标题 2 Char1"/>
    <w:basedOn w:val="39"/>
    <w:link w:val="10"/>
    <w:qFormat/>
    <w:uiPriority w:val="0"/>
    <w:rPr>
      <w:rFonts w:ascii="Arial" w:hAnsi="Arial" w:eastAsia="黑体"/>
      <w:b/>
      <w:bCs/>
      <w:sz w:val="32"/>
      <w:szCs w:val="32"/>
    </w:rPr>
  </w:style>
  <w:style w:type="paragraph" w:customStyle="1" w:styleId="11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Table Text"/>
    <w:basedOn w:val="1"/>
    <w:semiHidden/>
    <w:qFormat/>
    <w:uiPriority w:val="0"/>
    <w:rPr>
      <w:rFonts w:ascii="宋体" w:hAnsi="宋体" w:eastAsia="宋体" w:cs="宋体"/>
      <w:sz w:val="24"/>
      <w:szCs w:val="24"/>
      <w:lang w:val="en-US" w:eastAsia="en-US" w:bidi="ar-SA"/>
    </w:rPr>
  </w:style>
  <w:style w:type="character" w:customStyle="1" w:styleId="113">
    <w:name w:val="font41"/>
    <w:basedOn w:val="39"/>
    <w:qFormat/>
    <w:uiPriority w:val="0"/>
    <w:rPr>
      <w:rFonts w:hint="eastAsia" w:ascii="仿宋" w:hAnsi="仿宋" w:eastAsia="仿宋" w:cs="仿宋"/>
      <w:color w:val="000000"/>
      <w:sz w:val="22"/>
      <w:szCs w:val="22"/>
      <w:u w:val="none"/>
    </w:rPr>
  </w:style>
  <w:style w:type="character" w:customStyle="1" w:styleId="114">
    <w:name w:val="font31"/>
    <w:basedOn w:val="39"/>
    <w:qFormat/>
    <w:uiPriority w:val="0"/>
    <w:rPr>
      <w:rFonts w:hint="eastAsia" w:ascii="仿宋" w:hAnsi="仿宋" w:eastAsia="仿宋" w:cs="仿宋"/>
      <w:color w:val="000000"/>
      <w:sz w:val="22"/>
      <w:szCs w:val="22"/>
      <w:u w:val="none"/>
    </w:rPr>
  </w:style>
  <w:style w:type="paragraph" w:customStyle="1" w:styleId="115">
    <w:name w:val="基准标题"/>
    <w:next w:val="3"/>
    <w:qFormat/>
    <w:uiPriority w:val="0"/>
    <w:pPr>
      <w:keepNext/>
      <w:keepLines/>
      <w:widowControl w:val="0"/>
      <w:spacing w:before="140" w:line="220" w:lineRule="atLeast"/>
      <w:jc w:val="both"/>
    </w:pPr>
    <w:rPr>
      <w:rFonts w:ascii="Arial" w:hAnsi="Arial" w:eastAsia="仿宋_GB2312" w:cs="Times New Roman"/>
      <w:spacing w:val="-4"/>
      <w:kern w:val="28"/>
      <w:sz w:val="22"/>
      <w:szCs w:val="32"/>
      <w:lang w:val="en-US" w:eastAsia="zh-CN" w:bidi="ar-SA"/>
    </w:rPr>
  </w:style>
  <w:style w:type="character" w:customStyle="1" w:styleId="116">
    <w:name w:val="hover4"/>
    <w:basedOn w:val="39"/>
    <w:qFormat/>
    <w:uiPriority w:val="0"/>
    <w:rPr>
      <w:color w:val="5FB878"/>
    </w:rPr>
  </w:style>
  <w:style w:type="character" w:customStyle="1" w:styleId="117">
    <w:name w:val="hover5"/>
    <w:basedOn w:val="39"/>
    <w:qFormat/>
    <w:uiPriority w:val="0"/>
    <w:rPr>
      <w:color w:val="5FB878"/>
    </w:rPr>
  </w:style>
  <w:style w:type="character" w:customStyle="1" w:styleId="118">
    <w:name w:val="hover6"/>
    <w:basedOn w:val="39"/>
    <w:qFormat/>
    <w:uiPriority w:val="0"/>
    <w:rPr>
      <w:color w:val="FFFFFF"/>
    </w:rPr>
  </w:style>
  <w:style w:type="character" w:customStyle="1" w:styleId="119">
    <w:name w:val="layui-laydate-preview"/>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9447</Words>
  <Characters>10003</Characters>
  <Lines>76</Lines>
  <Paragraphs>21</Paragraphs>
  <TotalTime>31</TotalTime>
  <ScaleCrop>false</ScaleCrop>
  <LinksUpToDate>false</LinksUpToDate>
  <CharactersWithSpaces>10803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2024-06-18T05:28:00Z</dcterms:created>
  <dc:creator>朱少尉</dc:creator>
  <cp:lastModifiedBy>administrator</cp:lastModifiedBy>
  <cp:lastPrinted>2025-11-06T15:05:04Z</cp:lastPrinted>
  <dcterms:modified xsi:type="dcterms:W3CDTF">2025-11-06T15:36:40Z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CA16CF90D76941D18DEE0259BD68CE2F_13</vt:lpwstr>
  </property>
  <property fmtid="{D5CDD505-2E9C-101B-9397-08002B2CF9AE}" pid="4" name="KSOTemplateDocerSaveRecord">
    <vt:lpwstr>eyJoZGlkIjoiMmZmZWRiMDgwMjljOTg0NTQ3MTE1YzZhZGQwMTFhNDgiLCJ1c2VySWQiOiI2MjE2NTU5MzgifQ==</vt:lpwstr>
  </property>
</Properties>
</file>