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CF62">
      <w:pPr>
        <w:tabs>
          <w:tab w:val="left" w:pos="315"/>
          <w:tab w:val="left" w:pos="8820"/>
        </w:tabs>
        <w:spacing w:before="240" w:beforeLines="100" w:after="120" w:afterLines="50" w:line="500" w:lineRule="exact"/>
        <w:ind w:right="267" w:rightChars="127"/>
        <w:jc w:val="center"/>
        <w:rPr>
          <w:rFonts w:hint="eastAsia" w:ascii="仿宋" w:hAnsi="仿宋" w:eastAsia="仿宋" w:cs="仿宋"/>
          <w:b/>
          <w:bCs/>
          <w:color w:val="auto"/>
          <w:sz w:val="52"/>
          <w:szCs w:val="52"/>
          <w:highlight w:val="none"/>
        </w:rPr>
      </w:pPr>
      <w:bookmarkStart w:id="253" w:name="_GoBack"/>
      <w:bookmarkEnd w:id="253"/>
    </w:p>
    <w:p w14:paraId="6575AB78">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仿宋" w:hAnsi="仿宋" w:eastAsia="仿宋" w:cs="仿宋"/>
          <w:b/>
          <w:bCs/>
          <w:color w:val="auto"/>
          <w:sz w:val="52"/>
          <w:szCs w:val="52"/>
          <w:highlight w:val="none"/>
        </w:rPr>
      </w:pPr>
      <w:bookmarkStart w:id="0" w:name="_Hlk9544796"/>
      <w:r>
        <w:rPr>
          <w:rFonts w:hint="eastAsia" w:ascii="仿宋" w:hAnsi="仿宋" w:eastAsia="仿宋" w:cs="仿宋"/>
          <w:b/>
          <w:bCs/>
          <w:color w:val="auto"/>
          <w:sz w:val="52"/>
          <w:szCs w:val="52"/>
          <w:highlight w:val="none"/>
        </w:rPr>
        <w:t>六安市城管局局属涉改单位资产清查</w:t>
      </w:r>
    </w:p>
    <w:p w14:paraId="1FC54CFD">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rPr>
        <w:t>第三方服务</w:t>
      </w:r>
      <w:r>
        <w:rPr>
          <w:rFonts w:hint="eastAsia" w:ascii="仿宋" w:hAnsi="仿宋" w:eastAsia="仿宋" w:cs="仿宋"/>
          <w:b/>
          <w:bCs/>
          <w:color w:val="auto"/>
          <w:sz w:val="52"/>
          <w:szCs w:val="52"/>
          <w:highlight w:val="none"/>
          <w:lang w:val="en-US" w:eastAsia="zh-CN"/>
        </w:rPr>
        <w:t>采购项目</w:t>
      </w:r>
    </w:p>
    <w:p w14:paraId="5B7D85FA">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lang w:val="en-US" w:eastAsia="zh-CN"/>
        </w:rPr>
        <w:t>竞争性谈判</w:t>
      </w:r>
      <w:r>
        <w:rPr>
          <w:rFonts w:hint="eastAsia" w:ascii="仿宋" w:hAnsi="仿宋" w:eastAsia="仿宋" w:cs="仿宋"/>
          <w:b/>
          <w:bCs/>
          <w:color w:val="auto"/>
          <w:sz w:val="52"/>
          <w:szCs w:val="52"/>
          <w:highlight w:val="none"/>
        </w:rPr>
        <w:t>文件</w:t>
      </w:r>
    </w:p>
    <w:bookmarkEnd w:id="0"/>
    <w:p w14:paraId="659450DE">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0"/>
          <w:szCs w:val="40"/>
          <w:highlight w:val="none"/>
          <w:lang w:eastAsia="zh-CN"/>
        </w:rPr>
      </w:pPr>
    </w:p>
    <w:p w14:paraId="01A60684">
      <w:pPr>
        <w:tabs>
          <w:tab w:val="left" w:pos="315"/>
          <w:tab w:val="left" w:pos="8820"/>
        </w:tabs>
        <w:spacing w:before="312" w:beforeLines="100" w:after="156" w:afterLines="50" w:line="500" w:lineRule="exact"/>
        <w:ind w:right="267" w:rightChars="127"/>
        <w:jc w:val="both"/>
        <w:rPr>
          <w:rFonts w:hint="eastAsia" w:ascii="仿宋" w:hAnsi="仿宋" w:eastAsia="仿宋" w:cs="仿宋"/>
          <w:b/>
          <w:bCs/>
          <w:color w:val="auto"/>
          <w:sz w:val="40"/>
          <w:szCs w:val="40"/>
          <w:highlight w:val="none"/>
          <w:lang w:eastAsia="zh-CN"/>
        </w:rPr>
      </w:pPr>
    </w:p>
    <w:p w14:paraId="654882C3">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服务类</w:t>
      </w:r>
      <w:r>
        <w:rPr>
          <w:rFonts w:hint="eastAsia" w:ascii="仿宋" w:hAnsi="仿宋" w:eastAsia="仿宋" w:cs="仿宋"/>
          <w:b/>
          <w:bCs/>
          <w:color w:val="auto"/>
          <w:sz w:val="36"/>
          <w:szCs w:val="36"/>
          <w:highlight w:val="none"/>
          <w:lang w:eastAsia="zh-CN"/>
        </w:rPr>
        <w:t>）</w:t>
      </w:r>
    </w:p>
    <w:p w14:paraId="1D3F3D83">
      <w:pPr>
        <w:tabs>
          <w:tab w:val="left" w:pos="315"/>
          <w:tab w:val="left" w:pos="8820"/>
        </w:tabs>
        <w:spacing w:before="240" w:beforeLines="100" w:after="120" w:afterLines="50" w:line="500" w:lineRule="exact"/>
        <w:ind w:right="267" w:rightChars="127"/>
        <w:jc w:val="center"/>
        <w:rPr>
          <w:rFonts w:hint="eastAsia" w:ascii="仿宋" w:hAnsi="仿宋" w:eastAsia="仿宋" w:cs="仿宋"/>
          <w:b/>
          <w:bCs/>
          <w:color w:val="auto"/>
          <w:sz w:val="44"/>
          <w:szCs w:val="44"/>
          <w:highlight w:val="none"/>
        </w:rPr>
      </w:pPr>
    </w:p>
    <w:p w14:paraId="53EF25BF">
      <w:pPr>
        <w:tabs>
          <w:tab w:val="left" w:pos="315"/>
          <w:tab w:val="left" w:pos="8820"/>
        </w:tabs>
        <w:spacing w:before="240" w:beforeLines="100" w:after="120" w:afterLines="50" w:line="500" w:lineRule="exact"/>
        <w:ind w:right="267" w:rightChars="127"/>
        <w:jc w:val="center"/>
        <w:rPr>
          <w:rFonts w:hint="eastAsia" w:ascii="仿宋" w:hAnsi="仿宋" w:eastAsia="仿宋" w:cs="仿宋"/>
          <w:b/>
          <w:bCs/>
          <w:color w:val="auto"/>
          <w:sz w:val="44"/>
          <w:szCs w:val="44"/>
          <w:highlight w:val="none"/>
        </w:rPr>
      </w:pPr>
    </w:p>
    <w:p w14:paraId="12B66D23">
      <w:pPr>
        <w:tabs>
          <w:tab w:val="left" w:pos="315"/>
          <w:tab w:val="left" w:pos="8820"/>
        </w:tabs>
        <w:spacing w:before="240" w:beforeLines="100" w:after="120" w:afterLines="50" w:line="500" w:lineRule="exact"/>
        <w:ind w:right="267" w:rightChars="127"/>
        <w:jc w:val="center"/>
        <w:rPr>
          <w:rFonts w:hint="eastAsia" w:ascii="仿宋" w:hAnsi="仿宋" w:eastAsia="仿宋" w:cs="仿宋"/>
          <w:b/>
          <w:bCs/>
          <w:color w:val="auto"/>
          <w:sz w:val="44"/>
          <w:szCs w:val="44"/>
          <w:highlight w:val="none"/>
        </w:rPr>
      </w:pPr>
    </w:p>
    <w:p w14:paraId="41EA6165">
      <w:pPr>
        <w:tabs>
          <w:tab w:val="left" w:pos="315"/>
          <w:tab w:val="left" w:pos="8820"/>
        </w:tabs>
        <w:spacing w:before="240" w:beforeLines="100" w:after="120" w:afterLines="50" w:line="500" w:lineRule="exact"/>
        <w:ind w:right="267" w:rightChars="127"/>
        <w:jc w:val="both"/>
        <w:rPr>
          <w:rFonts w:hint="eastAsia" w:ascii="仿宋" w:hAnsi="仿宋" w:eastAsia="仿宋" w:cs="仿宋"/>
          <w:b/>
          <w:bCs/>
          <w:color w:val="auto"/>
          <w:sz w:val="44"/>
          <w:szCs w:val="44"/>
          <w:highlight w:val="none"/>
        </w:rPr>
      </w:pPr>
    </w:p>
    <w:p w14:paraId="523ABBAF">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lang w:val="en-US" w:eastAsia="zh-CN"/>
        </w:rPr>
      </w:pPr>
      <w:r>
        <w:rPr>
          <w:rFonts w:hint="eastAsia" w:ascii="仿宋" w:hAnsi="仿宋" w:eastAsia="仿宋" w:cs="仿宋"/>
          <w:b/>
          <w:color w:val="auto"/>
          <w:spacing w:val="20"/>
          <w:kern w:val="0"/>
          <w:sz w:val="32"/>
          <w:szCs w:val="32"/>
          <w:highlight w:val="none"/>
        </w:rPr>
        <w:t>项目名称：六安市城管局局属涉改单位资产清查第三方服务</w:t>
      </w:r>
      <w:r>
        <w:rPr>
          <w:rFonts w:hint="eastAsia" w:ascii="仿宋" w:hAnsi="仿宋" w:eastAsia="仿宋" w:cs="仿宋"/>
          <w:b/>
          <w:color w:val="auto"/>
          <w:spacing w:val="20"/>
          <w:kern w:val="0"/>
          <w:sz w:val="32"/>
          <w:szCs w:val="32"/>
          <w:highlight w:val="none"/>
          <w:lang w:val="en-US" w:eastAsia="zh-CN"/>
        </w:rPr>
        <w:t>采购项目</w:t>
      </w:r>
    </w:p>
    <w:p w14:paraId="75610F45">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项目编号：HSWLZB-2026032</w:t>
      </w:r>
    </w:p>
    <w:p w14:paraId="5EC3798B">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采 购 人：六安市城市管理局</w:t>
      </w:r>
    </w:p>
    <w:p w14:paraId="769D26E7">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采购代理机构：</w:t>
      </w:r>
      <w:r>
        <w:rPr>
          <w:rFonts w:hint="eastAsia" w:ascii="仿宋" w:hAnsi="仿宋" w:eastAsia="仿宋" w:cs="仿宋"/>
          <w:b/>
          <w:color w:val="auto"/>
          <w:spacing w:val="20"/>
          <w:kern w:val="0"/>
          <w:sz w:val="32"/>
          <w:szCs w:val="32"/>
          <w:highlight w:val="none"/>
          <w:lang w:val="en-US" w:eastAsia="zh-CN"/>
        </w:rPr>
        <w:t>安徽万隆建设项目管理有限公司</w:t>
      </w:r>
    </w:p>
    <w:p w14:paraId="354EB134">
      <w:pPr>
        <w:tabs>
          <w:tab w:val="left" w:pos="315"/>
          <w:tab w:val="left" w:pos="8820"/>
        </w:tabs>
        <w:spacing w:before="240" w:beforeLines="100" w:after="120" w:afterLines="50" w:line="500" w:lineRule="exact"/>
        <w:ind w:right="267" w:rightChars="127"/>
        <w:jc w:val="center"/>
        <w:rPr>
          <w:rFonts w:hint="eastAsia" w:ascii="仿宋" w:hAnsi="仿宋" w:eastAsia="仿宋" w:cs="仿宋"/>
          <w:b/>
          <w:bCs/>
          <w:color w:val="auto"/>
          <w:sz w:val="44"/>
          <w:szCs w:val="44"/>
          <w:highlight w:val="none"/>
        </w:rPr>
      </w:pPr>
    </w:p>
    <w:p w14:paraId="105534D5">
      <w:pPr>
        <w:tabs>
          <w:tab w:val="left" w:pos="2410"/>
        </w:tabs>
        <w:autoSpaceDE w:val="0"/>
        <w:autoSpaceDN w:val="0"/>
        <w:adjustRightInd w:val="0"/>
        <w:snapToGrid w:val="0"/>
        <w:spacing w:line="360" w:lineRule="auto"/>
        <w:jc w:val="center"/>
        <w:rPr>
          <w:rFonts w:hint="eastAsia" w:ascii="仿宋" w:hAnsi="仿宋" w:eastAsia="仿宋" w:cs="仿宋"/>
          <w:b/>
          <w:color w:val="auto"/>
          <w:sz w:val="36"/>
          <w:highlight w:val="none"/>
        </w:rPr>
        <w:sectPr>
          <w:footerReference r:id="rId3" w:type="default"/>
          <w:pgSz w:w="11907" w:h="16840"/>
          <w:pgMar w:top="1134" w:right="1134" w:bottom="1134" w:left="1134" w:header="851" w:footer="992" w:gutter="0"/>
          <w:pgNumType w:fmt="decimal"/>
          <w:cols w:space="720" w:num="1"/>
          <w:docGrid w:linePitch="462" w:charSpace="0"/>
        </w:sectPr>
      </w:pPr>
      <w:r>
        <w:rPr>
          <w:rFonts w:hint="eastAsia" w:ascii="仿宋" w:hAnsi="仿宋" w:eastAsia="仿宋" w:cs="仿宋"/>
          <w:b/>
          <w:color w:val="auto"/>
          <w:sz w:val="36"/>
          <w:highlight w:val="none"/>
          <w:u w:val="single"/>
          <w:lang w:val="en-US" w:eastAsia="zh-CN"/>
        </w:rPr>
        <w:t>2026</w:t>
      </w:r>
      <w:r>
        <w:rPr>
          <w:rFonts w:hint="eastAsia" w:ascii="仿宋" w:hAnsi="仿宋" w:eastAsia="仿宋" w:cs="仿宋"/>
          <w:b/>
          <w:color w:val="auto"/>
          <w:sz w:val="36"/>
          <w:highlight w:val="none"/>
        </w:rPr>
        <w:t>年</w:t>
      </w:r>
      <w:r>
        <w:rPr>
          <w:rFonts w:hint="eastAsia" w:ascii="仿宋" w:hAnsi="仿宋" w:eastAsia="仿宋" w:cs="仿宋"/>
          <w:b/>
          <w:color w:val="auto"/>
          <w:sz w:val="36"/>
          <w:highlight w:val="none"/>
          <w:u w:val="single"/>
          <w:lang w:val="en-US" w:eastAsia="zh-CN"/>
        </w:rPr>
        <w:t>6</w:t>
      </w:r>
      <w:r>
        <w:rPr>
          <w:rFonts w:hint="eastAsia" w:ascii="仿宋" w:hAnsi="仿宋" w:eastAsia="仿宋" w:cs="仿宋"/>
          <w:b/>
          <w:color w:val="auto"/>
          <w:sz w:val="36"/>
          <w:highlight w:val="none"/>
        </w:rPr>
        <w:t>月</w:t>
      </w:r>
    </w:p>
    <w:p w14:paraId="274652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仿宋" w:hAnsi="仿宋" w:eastAsia="仿宋" w:cs="仿宋"/>
          <w:b/>
          <w:color w:val="auto"/>
          <w:sz w:val="24"/>
          <w:szCs w:val="24"/>
          <w:highlight w:val="none"/>
          <w:lang w:eastAsia="zh-CN"/>
        </w:rPr>
      </w:pPr>
      <w:bookmarkStart w:id="1" w:name="_Toc21914"/>
      <w:r>
        <w:rPr>
          <w:rFonts w:hint="eastAsia" w:ascii="仿宋" w:hAnsi="仿宋" w:eastAsia="仿宋" w:cs="仿宋"/>
          <w:b/>
          <w:color w:val="auto"/>
          <w:sz w:val="24"/>
          <w:szCs w:val="24"/>
          <w:highlight w:val="none"/>
        </w:rPr>
        <w:t xml:space="preserve">第一章  </w:t>
      </w:r>
      <w:bookmarkEnd w:id="1"/>
      <w:r>
        <w:rPr>
          <w:rFonts w:hint="eastAsia" w:ascii="仿宋" w:hAnsi="仿宋" w:eastAsia="仿宋" w:cs="仿宋"/>
          <w:b/>
          <w:color w:val="auto"/>
          <w:sz w:val="24"/>
          <w:szCs w:val="24"/>
          <w:highlight w:val="none"/>
          <w:lang w:eastAsia="zh-CN"/>
        </w:rPr>
        <w:t>采购邀请</w:t>
      </w:r>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r>
        <w:rPr>
          <w:rFonts w:hint="eastAsia" w:ascii="仿宋" w:hAnsi="仿宋" w:eastAsia="仿宋" w:cs="仿宋"/>
          <w:color w:val="auto"/>
          <w:sz w:val="24"/>
          <w:szCs w:val="24"/>
          <w:highlight w:val="none"/>
          <w:u w:val="single"/>
        </w:rPr>
        <w:t>六安市城管局局属涉改单位资产清查第三方服务</w:t>
      </w:r>
      <w:r>
        <w:rPr>
          <w:rFonts w:hint="eastAsia" w:ascii="仿宋" w:hAnsi="仿宋" w:eastAsia="仿宋" w:cs="仿宋"/>
          <w:color w:val="auto"/>
          <w:sz w:val="24"/>
          <w:szCs w:val="24"/>
          <w:highlight w:val="none"/>
          <w:u w:val="single"/>
          <w:lang w:val="en-US" w:eastAsia="zh-CN"/>
        </w:rPr>
        <w:t>采购项目</w:t>
      </w:r>
      <w:r>
        <w:rPr>
          <w:rFonts w:hint="eastAsia" w:ascii="仿宋" w:hAnsi="仿宋" w:eastAsia="仿宋" w:cs="仿宋"/>
          <w:color w:val="auto"/>
          <w:sz w:val="24"/>
          <w:szCs w:val="24"/>
          <w:highlight w:val="none"/>
          <w:u w:val="single"/>
        </w:rPr>
        <w:t>（项目编号：HSWLZB-2026032）</w:t>
      </w:r>
      <w:r>
        <w:rPr>
          <w:rFonts w:hint="eastAsia" w:ascii="仿宋" w:hAnsi="仿宋" w:eastAsia="仿宋" w:cs="仿宋"/>
          <w:color w:val="auto"/>
          <w:sz w:val="24"/>
          <w:szCs w:val="24"/>
          <w:highlight w:val="none"/>
        </w:rPr>
        <w:t>的潜在供应商应在六安市城市管理局网站（htps://cgj.luan.gov.cn/）</w:t>
      </w:r>
      <w:r>
        <w:rPr>
          <w:rFonts w:hint="eastAsia" w:ascii="仿宋" w:hAnsi="仿宋" w:eastAsia="仿宋" w:cs="仿宋"/>
          <w:color w:val="auto"/>
          <w:sz w:val="24"/>
          <w:szCs w:val="24"/>
          <w:highlight w:val="none"/>
          <w:u w:val="none"/>
        </w:rPr>
        <w:t>获取采购文件，并于</w:t>
      </w:r>
      <w:r>
        <w:rPr>
          <w:rFonts w:hint="eastAsia" w:ascii="仿宋" w:hAnsi="仿宋" w:eastAsia="仿宋" w:cs="仿宋"/>
          <w:color w:val="auto"/>
          <w:sz w:val="24"/>
          <w:szCs w:val="24"/>
          <w:highlight w:val="none"/>
          <w:u w:val="singl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rPr>
        <w:t>分（北京时间）前</w:t>
      </w: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rPr>
        <w:t>响应文件。</w:t>
      </w:r>
    </w:p>
    <w:p w14:paraId="5F0D980E">
      <w:pPr>
        <w:pStyle w:val="2"/>
        <w:pageBreakBefore w:val="0"/>
        <w:kinsoku/>
        <w:wordWrap/>
        <w:overflowPunct/>
        <w:topLinePunct w:val="0"/>
        <w:autoSpaceDE/>
        <w:autoSpaceDN/>
        <w:bidi w:val="0"/>
        <w:adjustRightInd/>
        <w:snapToGrid/>
        <w:spacing w:before="0" w:after="0" w:line="540" w:lineRule="exact"/>
        <w:ind w:left="0"/>
        <w:jc w:val="both"/>
        <w:textAlignment w:val="auto"/>
        <w:rPr>
          <w:rFonts w:hint="eastAsia" w:ascii="仿宋" w:hAnsi="仿宋" w:eastAsia="仿宋" w:cs="仿宋"/>
          <w:b w:val="0"/>
          <w:bCs/>
          <w:color w:val="auto"/>
          <w:sz w:val="24"/>
          <w:szCs w:val="24"/>
          <w:highlight w:val="none"/>
        </w:rPr>
      </w:pPr>
      <w:bookmarkStart w:id="2" w:name="_Toc28359089"/>
      <w:bookmarkStart w:id="3" w:name="_Toc28359012"/>
      <w:bookmarkStart w:id="4" w:name="_Toc9864"/>
      <w:bookmarkStart w:id="5" w:name="_Toc35393629"/>
      <w:bookmarkStart w:id="6" w:name="_Toc20658"/>
      <w:bookmarkStart w:id="7" w:name="_Toc31720"/>
      <w:bookmarkStart w:id="8" w:name="_Toc13970"/>
      <w:bookmarkStart w:id="9" w:name="_Toc35393798"/>
      <w:r>
        <w:rPr>
          <w:rFonts w:hint="eastAsia" w:ascii="仿宋" w:hAnsi="仿宋" w:eastAsia="仿宋" w:cs="仿宋"/>
          <w:b w:val="0"/>
          <w:bCs/>
          <w:color w:val="auto"/>
          <w:sz w:val="24"/>
          <w:szCs w:val="24"/>
          <w:highlight w:val="none"/>
        </w:rPr>
        <w:t>一、项目基本情况</w:t>
      </w:r>
      <w:bookmarkEnd w:id="2"/>
      <w:bookmarkEnd w:id="3"/>
      <w:bookmarkEnd w:id="4"/>
      <w:bookmarkEnd w:id="5"/>
      <w:bookmarkEnd w:id="6"/>
      <w:bookmarkEnd w:id="7"/>
      <w:bookmarkEnd w:id="8"/>
      <w:bookmarkEnd w:id="9"/>
    </w:p>
    <w:p w14:paraId="3F840EB5">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1、项目编号：HSWLZB-2026032</w:t>
      </w:r>
    </w:p>
    <w:p w14:paraId="3E1C1475">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2、项目名称：六安市城管局局属涉改单位资产清查第三方服务</w:t>
      </w:r>
      <w:r>
        <w:rPr>
          <w:rFonts w:hint="eastAsia" w:ascii="仿宋" w:hAnsi="仿宋" w:eastAsia="仿宋" w:cs="仿宋"/>
          <w:color w:val="auto"/>
          <w:sz w:val="24"/>
          <w:szCs w:val="24"/>
          <w:highlight w:val="none"/>
          <w:lang w:val="en-US" w:eastAsia="zh-CN"/>
        </w:rPr>
        <w:t>采购项目</w:t>
      </w:r>
    </w:p>
    <w:p w14:paraId="5EC258EC">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3、项目类型：服务类</w:t>
      </w:r>
    </w:p>
    <w:p w14:paraId="7F583876">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4、采购方式：竞争性</w:t>
      </w:r>
      <w:r>
        <w:rPr>
          <w:rFonts w:hint="eastAsia" w:ascii="仿宋" w:hAnsi="仿宋" w:eastAsia="仿宋" w:cs="仿宋"/>
          <w:color w:val="auto"/>
          <w:sz w:val="24"/>
          <w:szCs w:val="24"/>
          <w:highlight w:val="none"/>
          <w:lang w:eastAsia="zh-CN"/>
        </w:rPr>
        <w:t>谈判</w:t>
      </w:r>
    </w:p>
    <w:p w14:paraId="147FD52C">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5、预算金额：</w:t>
      </w:r>
      <w:r>
        <w:rPr>
          <w:rFonts w:hint="eastAsia" w:ascii="仿宋" w:hAnsi="仿宋" w:eastAsia="仿宋" w:cs="仿宋"/>
          <w:color w:val="auto"/>
          <w:sz w:val="24"/>
          <w:szCs w:val="24"/>
          <w:highlight w:val="none"/>
          <w:u w:val="none"/>
          <w:lang w:val="en-US" w:eastAsia="zh-CN"/>
        </w:rPr>
        <w:t>第1包2.5万元、第2包1.5万元、第3包2.4万元</w:t>
      </w:r>
    </w:p>
    <w:p w14:paraId="2E8BAC7B">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6、最高限价：</w:t>
      </w:r>
      <w:r>
        <w:rPr>
          <w:rFonts w:hint="eastAsia" w:ascii="仿宋" w:hAnsi="仿宋" w:eastAsia="仿宋" w:cs="仿宋"/>
          <w:color w:val="auto"/>
          <w:sz w:val="24"/>
          <w:szCs w:val="24"/>
          <w:highlight w:val="none"/>
          <w:u w:val="none"/>
          <w:lang w:val="en-US" w:eastAsia="zh-CN"/>
        </w:rPr>
        <w:t>第1包2.5万元、第2包1.5万元、第3包2.4万元</w:t>
      </w:r>
    </w:p>
    <w:p w14:paraId="4DB6E4D9">
      <w:pPr>
        <w:pageBreakBefore w:val="0"/>
        <w:widowControl/>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7、采购需求：</w:t>
      </w:r>
      <w:r>
        <w:rPr>
          <w:rFonts w:hint="eastAsia" w:ascii="仿宋" w:hAnsi="仿宋" w:eastAsia="仿宋" w:cs="仿宋"/>
          <w:color w:val="auto"/>
          <w:sz w:val="24"/>
          <w:szCs w:val="24"/>
          <w:highlight w:val="none"/>
          <w:lang w:val="en-US" w:eastAsia="zh-CN"/>
        </w:rPr>
        <w:t>为了规范国有资产监管秩序，厘清局属涉改单位资产底数、权属状况、账务现状，防范国有资产流失，保障机构改革平稳有序推进，委托第三方专业机构，对我局多家涉改单位开展全面资产清查专项工作，具体采购内容详见采购需求。</w:t>
      </w:r>
    </w:p>
    <w:p w14:paraId="6CF9F2AF">
      <w:pPr>
        <w:pageBreakBefore w:val="0"/>
        <w:widowControl/>
        <w:kinsoku/>
        <w:wordWrap/>
        <w:overflowPunct/>
        <w:topLinePunct w:val="0"/>
        <w:autoSpaceDE/>
        <w:autoSpaceDN/>
        <w:bidi w:val="0"/>
        <w:adjustRightInd/>
        <w:snapToGrid/>
        <w:spacing w:line="540" w:lineRule="exact"/>
        <w:ind w:left="0" w:firstLine="480" w:firstLineChars="200"/>
        <w:jc w:val="both"/>
        <w:textAlignment w:val="auto"/>
        <w:rPr>
          <w:rFonts w:hint="default"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8、合同履行期限：</w:t>
      </w:r>
      <w:r>
        <w:rPr>
          <w:rFonts w:hint="eastAsia" w:ascii="仿宋" w:hAnsi="仿宋" w:eastAsia="仿宋" w:cs="仿宋"/>
          <w:color w:val="auto"/>
          <w:sz w:val="24"/>
          <w:szCs w:val="24"/>
          <w:highlight w:val="none"/>
          <w:lang w:val="en-US" w:eastAsia="zh-CN"/>
        </w:rPr>
        <w:t>自合同签订起到2026年6月25日止。</w:t>
      </w:r>
    </w:p>
    <w:p w14:paraId="7CEB6FCD">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9、是否接受联合体：本项目不接受联合体。</w:t>
      </w:r>
    </w:p>
    <w:p w14:paraId="55F43B44">
      <w:pPr>
        <w:pStyle w:val="2"/>
        <w:pageBreakBefore w:val="0"/>
        <w:kinsoku/>
        <w:wordWrap/>
        <w:overflowPunct/>
        <w:topLinePunct w:val="0"/>
        <w:autoSpaceDE/>
        <w:autoSpaceDN/>
        <w:bidi w:val="0"/>
        <w:adjustRightInd/>
        <w:snapToGrid/>
        <w:spacing w:before="0" w:after="0" w:line="540" w:lineRule="exact"/>
        <w:ind w:left="0"/>
        <w:jc w:val="both"/>
        <w:textAlignment w:val="auto"/>
        <w:rPr>
          <w:rFonts w:hint="eastAsia" w:ascii="仿宋" w:hAnsi="仿宋" w:eastAsia="仿宋" w:cs="仿宋"/>
          <w:b w:val="0"/>
          <w:bCs/>
          <w:color w:val="auto"/>
          <w:sz w:val="24"/>
          <w:szCs w:val="24"/>
          <w:highlight w:val="none"/>
        </w:rPr>
      </w:pPr>
      <w:bookmarkStart w:id="10" w:name="_Toc24573"/>
      <w:bookmarkStart w:id="11" w:name="_Toc28359090"/>
      <w:bookmarkStart w:id="12" w:name="_Toc35393799"/>
      <w:bookmarkStart w:id="13" w:name="_Toc8072"/>
      <w:bookmarkStart w:id="14" w:name="_Toc35393630"/>
      <w:bookmarkStart w:id="15" w:name="_Toc28359013"/>
      <w:bookmarkStart w:id="16" w:name="_Toc31029"/>
      <w:bookmarkStart w:id="17" w:name="_Toc18558"/>
      <w:bookmarkStart w:id="18" w:name="_Toc28359014"/>
      <w:bookmarkStart w:id="19" w:name="_Toc28359091"/>
      <w:r>
        <w:rPr>
          <w:rFonts w:hint="eastAsia" w:ascii="仿宋" w:hAnsi="仿宋" w:eastAsia="仿宋" w:cs="仿宋"/>
          <w:b w:val="0"/>
          <w:bCs/>
          <w:color w:val="auto"/>
          <w:sz w:val="24"/>
          <w:szCs w:val="24"/>
          <w:highlight w:val="none"/>
        </w:rPr>
        <w:t>二、申请人的资格要求</w:t>
      </w:r>
      <w:bookmarkEnd w:id="10"/>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本项目为专门面向中小企业采购的项目，同时落实中小微企业、监狱企业、残疾人福利性单位扶持政策；</w:t>
      </w:r>
    </w:p>
    <w:p w14:paraId="31D6FEF9">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w:t>
      </w:r>
      <w:r>
        <w:rPr>
          <w:rFonts w:hint="eastAsia" w:ascii="仿宋" w:hAnsi="仿宋" w:eastAsia="仿宋" w:cs="仿宋"/>
          <w:color w:val="auto"/>
          <w:sz w:val="24"/>
          <w:szCs w:val="24"/>
          <w:highlight w:val="none"/>
          <w:lang w:val="en-US" w:eastAsia="zh-CN"/>
        </w:rPr>
        <w:t>资格要求：供应商需具备有效的营业执照，且具备有效的会计师事务所执业资格。</w:t>
      </w:r>
    </w:p>
    <w:p w14:paraId="2A5B3399">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lang w:val="en-US" w:eastAsia="zh-CN"/>
        </w:rPr>
      </w:pPr>
      <w:bookmarkStart w:id="20" w:name="_Toc26634"/>
      <w:bookmarkStart w:id="21" w:name="_Toc35393800"/>
      <w:bookmarkStart w:id="22" w:name="_Toc35393631"/>
      <w:bookmarkStart w:id="23" w:name="_Toc23310"/>
      <w:bookmarkStart w:id="24" w:name="_Toc32583"/>
      <w:bookmarkStart w:id="25" w:name="_Toc575"/>
      <w:r>
        <w:rPr>
          <w:rFonts w:hint="eastAsia" w:ascii="仿宋" w:hAnsi="仿宋" w:eastAsia="仿宋" w:cs="仿宋"/>
          <w:color w:val="auto"/>
          <w:sz w:val="24"/>
          <w:szCs w:val="24"/>
          <w:highlight w:val="none"/>
          <w:lang w:val="en-US" w:eastAsia="zh-CN"/>
        </w:rPr>
        <w:t>三、获取采购文件</w:t>
      </w:r>
      <w:bookmarkEnd w:id="18"/>
      <w:bookmarkEnd w:id="19"/>
      <w:bookmarkEnd w:id="20"/>
      <w:bookmarkEnd w:id="21"/>
      <w:bookmarkEnd w:id="22"/>
      <w:bookmarkEnd w:id="23"/>
      <w:bookmarkEnd w:id="24"/>
      <w:bookmarkEnd w:id="25"/>
    </w:p>
    <w:p w14:paraId="238E7DF5">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bCs/>
          <w:color w:val="auto"/>
          <w:sz w:val="24"/>
          <w:szCs w:val="24"/>
          <w:highlight w:val="none"/>
          <w:u w:val="single"/>
          <w:lang w:val="en-US" w:eastAsia="zh-CN"/>
        </w:rPr>
        <w:t>2026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lang w:val="en-US" w:eastAsia="zh-CN"/>
        </w:rPr>
        <w:t>6</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lang w:val="en-US" w:eastAsia="zh-CN"/>
        </w:rPr>
        <w:t>15</w:t>
      </w:r>
      <w:r>
        <w:rPr>
          <w:rFonts w:hint="eastAsia" w:ascii="仿宋" w:hAnsi="仿宋" w:eastAsia="仿宋" w:cs="仿宋"/>
          <w:bCs/>
          <w:color w:val="auto"/>
          <w:sz w:val="24"/>
          <w:szCs w:val="24"/>
          <w:highlight w:val="none"/>
        </w:rPr>
        <w:t>日至</w:t>
      </w:r>
      <w:r>
        <w:rPr>
          <w:rFonts w:hint="eastAsia" w:ascii="仿宋" w:hAnsi="仿宋" w:eastAsia="仿宋" w:cs="仿宋"/>
          <w:bCs/>
          <w:color w:val="auto"/>
          <w:sz w:val="24"/>
          <w:szCs w:val="24"/>
          <w:highlight w:val="none"/>
          <w:u w:val="single"/>
          <w:lang w:val="en-US" w:eastAsia="zh-CN"/>
        </w:rPr>
        <w:t>2026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lang w:val="en-US" w:eastAsia="zh-CN"/>
        </w:rPr>
        <w:t>6</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lang w:val="en-US" w:eastAsia="zh-CN"/>
        </w:rPr>
        <w:t>18</w:t>
      </w:r>
      <w:r>
        <w:rPr>
          <w:rFonts w:hint="eastAsia" w:ascii="仿宋" w:hAnsi="仿宋" w:eastAsia="仿宋" w:cs="仿宋"/>
          <w:bCs/>
          <w:color w:val="auto"/>
          <w:sz w:val="24"/>
          <w:szCs w:val="24"/>
          <w:highlight w:val="none"/>
        </w:rPr>
        <w:t>日</w:t>
      </w:r>
      <w:r>
        <w:rPr>
          <w:rFonts w:hint="eastAsia" w:ascii="仿宋" w:hAnsi="仿宋" w:eastAsia="仿宋" w:cs="仿宋"/>
          <w:color w:val="auto"/>
          <w:sz w:val="24"/>
          <w:szCs w:val="24"/>
          <w:highlight w:val="none"/>
        </w:rPr>
        <w:t>（北京时间）</w:t>
      </w:r>
    </w:p>
    <w:p w14:paraId="0993DFB7">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val="en-US" w:eastAsia="zh-CN"/>
        </w:rPr>
        <w:t>六安市城市管理局网站（htps://cgj.luan.gov.cn/）</w:t>
      </w:r>
    </w:p>
    <w:p w14:paraId="2800E977">
      <w:pPr>
        <w:pageBreakBefore w:val="0"/>
        <w:widowControl/>
        <w:shd w:val="clear" w:color="auto" w:fill="FFFFFF"/>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3、获取方式：</w:t>
      </w:r>
      <w:r>
        <w:rPr>
          <w:rFonts w:hint="eastAsia" w:ascii="仿宋" w:hAnsi="仿宋" w:eastAsia="仿宋" w:cs="仿宋"/>
          <w:color w:val="auto"/>
          <w:sz w:val="24"/>
          <w:szCs w:val="24"/>
          <w:highlight w:val="none"/>
          <w:lang w:val="en-US" w:eastAsia="zh-CN"/>
        </w:rPr>
        <w:t>潜在供应商自行在六安市城市管理局网站下载本项目采购文件</w:t>
      </w:r>
      <w:r>
        <w:rPr>
          <w:rFonts w:hint="eastAsia" w:ascii="仿宋" w:hAnsi="仿宋" w:eastAsia="仿宋" w:cs="仿宋"/>
          <w:color w:val="auto"/>
          <w:sz w:val="24"/>
          <w:szCs w:val="24"/>
          <w:highlight w:val="none"/>
        </w:rPr>
        <w:t>（答疑澄清等相关文件资料），电话：</w:t>
      </w:r>
      <w:r>
        <w:rPr>
          <w:rFonts w:hint="eastAsia" w:ascii="仿宋" w:hAnsi="仿宋" w:eastAsia="仿宋" w:cs="仿宋"/>
          <w:color w:val="auto"/>
          <w:sz w:val="24"/>
          <w:szCs w:val="24"/>
          <w:highlight w:val="none"/>
          <w:lang w:val="en-US" w:eastAsia="zh-CN"/>
        </w:rPr>
        <w:t>0564-5021598</w:t>
      </w:r>
      <w:r>
        <w:rPr>
          <w:rFonts w:hint="eastAsia" w:ascii="仿宋" w:hAnsi="仿宋" w:eastAsia="仿宋" w:cs="仿宋"/>
          <w:color w:val="auto"/>
          <w:sz w:val="24"/>
          <w:szCs w:val="24"/>
          <w:highlight w:val="none"/>
          <w:lang w:eastAsia="zh-CN"/>
        </w:rPr>
        <w:t>。</w:t>
      </w:r>
    </w:p>
    <w:p w14:paraId="5BAADB06">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4、售价：零元</w:t>
      </w:r>
    </w:p>
    <w:p w14:paraId="71DBEA73">
      <w:pPr>
        <w:pStyle w:val="2"/>
        <w:pageBreakBefore w:val="0"/>
        <w:kinsoku/>
        <w:wordWrap/>
        <w:overflowPunct/>
        <w:topLinePunct w:val="0"/>
        <w:autoSpaceDE/>
        <w:autoSpaceDN/>
        <w:bidi w:val="0"/>
        <w:adjustRightInd/>
        <w:snapToGrid/>
        <w:spacing w:before="0" w:after="0" w:line="540" w:lineRule="exact"/>
        <w:ind w:left="0"/>
        <w:jc w:val="both"/>
        <w:textAlignment w:val="auto"/>
        <w:rPr>
          <w:rFonts w:hint="eastAsia" w:ascii="仿宋" w:hAnsi="仿宋" w:eastAsia="仿宋" w:cs="仿宋"/>
          <w:b w:val="0"/>
          <w:bCs/>
          <w:color w:val="auto"/>
          <w:sz w:val="24"/>
          <w:szCs w:val="24"/>
          <w:highlight w:val="none"/>
        </w:rPr>
      </w:pPr>
      <w:bookmarkStart w:id="26" w:name="_Toc35393632"/>
      <w:bookmarkStart w:id="27" w:name="_Toc28359015"/>
      <w:bookmarkStart w:id="28" w:name="_Toc28359092"/>
      <w:bookmarkStart w:id="29" w:name="_Toc35393801"/>
      <w:bookmarkStart w:id="30" w:name="_Toc7401"/>
      <w:bookmarkStart w:id="31" w:name="_Toc26077"/>
      <w:bookmarkStart w:id="32" w:name="_Toc30719"/>
      <w:bookmarkStart w:id="33" w:name="_Toc2740"/>
      <w:r>
        <w:rPr>
          <w:rFonts w:hint="eastAsia" w:ascii="仿宋" w:hAnsi="仿宋" w:eastAsia="仿宋" w:cs="仿宋"/>
          <w:b w:val="0"/>
          <w:bCs/>
          <w:color w:val="auto"/>
          <w:sz w:val="24"/>
          <w:szCs w:val="24"/>
          <w:highlight w:val="none"/>
        </w:rPr>
        <w:t>四、响应文件</w:t>
      </w:r>
      <w:bookmarkEnd w:id="26"/>
      <w:bookmarkEnd w:id="27"/>
      <w:bookmarkEnd w:id="28"/>
      <w:bookmarkEnd w:id="29"/>
      <w:r>
        <w:rPr>
          <w:rFonts w:hint="eastAsia" w:ascii="仿宋" w:hAnsi="仿宋" w:eastAsia="仿宋" w:cs="仿宋"/>
          <w:b w:val="0"/>
          <w:bCs/>
          <w:color w:val="auto"/>
          <w:sz w:val="24"/>
          <w:szCs w:val="24"/>
          <w:highlight w:val="none"/>
        </w:rPr>
        <w:t>提交</w:t>
      </w:r>
      <w:bookmarkEnd w:id="30"/>
      <w:bookmarkEnd w:id="31"/>
      <w:bookmarkEnd w:id="32"/>
      <w:bookmarkEnd w:id="33"/>
    </w:p>
    <w:p w14:paraId="654905F7">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1、截止时间：</w:t>
      </w:r>
      <w:r>
        <w:rPr>
          <w:rFonts w:hint="eastAsia" w:ascii="仿宋" w:hAnsi="仿宋" w:eastAsia="仿宋" w:cs="仿宋"/>
          <w:bCs/>
          <w:color w:val="auto"/>
          <w:sz w:val="24"/>
          <w:szCs w:val="24"/>
          <w:highlight w:val="none"/>
          <w:u w:val="single"/>
          <w:lang w:val="en-US" w:eastAsia="zh-CN"/>
        </w:rPr>
        <w:t>2026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lang w:val="en-US" w:eastAsia="zh-CN"/>
        </w:rPr>
        <w:t>6</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lang w:val="en-US" w:eastAsia="zh-CN"/>
        </w:rPr>
        <w:t>18</w:t>
      </w: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u w:val="single"/>
          <w:lang w:val="en-US" w:eastAsia="zh-CN"/>
        </w:rPr>
        <w:t>9</w:t>
      </w:r>
      <w:r>
        <w:rPr>
          <w:rFonts w:hint="eastAsia" w:ascii="仿宋" w:hAnsi="仿宋" w:eastAsia="仿宋" w:cs="仿宋"/>
          <w:bCs/>
          <w:color w:val="auto"/>
          <w:sz w:val="24"/>
          <w:szCs w:val="24"/>
          <w:highlight w:val="non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rPr>
        <w:t>分（北京时间）</w:t>
      </w:r>
    </w:p>
    <w:p w14:paraId="56D77743">
      <w:pPr>
        <w:pageBreakBefore w:val="0"/>
        <w:widowControl/>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2、提交方式：纸质版响应文件应在提交截止时间前现场提交。</w:t>
      </w:r>
    </w:p>
    <w:p w14:paraId="42829225">
      <w:pPr>
        <w:pStyle w:val="2"/>
        <w:pageBreakBefore w:val="0"/>
        <w:kinsoku/>
        <w:wordWrap/>
        <w:overflowPunct/>
        <w:topLinePunct w:val="0"/>
        <w:autoSpaceDE/>
        <w:autoSpaceDN/>
        <w:bidi w:val="0"/>
        <w:adjustRightInd/>
        <w:snapToGrid/>
        <w:spacing w:before="0" w:after="0" w:line="540" w:lineRule="exact"/>
        <w:ind w:left="0"/>
        <w:jc w:val="both"/>
        <w:textAlignment w:val="auto"/>
        <w:rPr>
          <w:rFonts w:hint="eastAsia" w:ascii="仿宋" w:hAnsi="仿宋" w:eastAsia="仿宋" w:cs="仿宋"/>
          <w:b w:val="0"/>
          <w:bCs/>
          <w:color w:val="auto"/>
          <w:sz w:val="24"/>
          <w:szCs w:val="24"/>
          <w:highlight w:val="none"/>
        </w:rPr>
      </w:pPr>
      <w:bookmarkStart w:id="34" w:name="_Toc35393802"/>
      <w:bookmarkStart w:id="35" w:name="_Toc28359093"/>
      <w:bookmarkStart w:id="36" w:name="_Toc28359016"/>
      <w:bookmarkStart w:id="37" w:name="_Toc35393633"/>
      <w:bookmarkStart w:id="38" w:name="_Toc1586"/>
      <w:bookmarkStart w:id="39" w:name="_Toc26903"/>
      <w:bookmarkStart w:id="40" w:name="_Toc18791"/>
      <w:bookmarkStart w:id="41" w:name="_Toc11900"/>
      <w:r>
        <w:rPr>
          <w:rFonts w:hint="eastAsia" w:ascii="仿宋" w:hAnsi="仿宋" w:eastAsia="仿宋" w:cs="仿宋"/>
          <w:b w:val="0"/>
          <w:bCs/>
          <w:color w:val="auto"/>
          <w:sz w:val="24"/>
          <w:szCs w:val="24"/>
          <w:highlight w:val="none"/>
        </w:rPr>
        <w:t>五、</w:t>
      </w:r>
      <w:bookmarkEnd w:id="34"/>
      <w:bookmarkEnd w:id="35"/>
      <w:bookmarkEnd w:id="36"/>
      <w:bookmarkEnd w:id="37"/>
      <w:r>
        <w:rPr>
          <w:rFonts w:hint="eastAsia" w:ascii="仿宋" w:hAnsi="仿宋" w:eastAsia="仿宋" w:cs="仿宋"/>
          <w:b w:val="0"/>
          <w:bCs/>
          <w:color w:val="auto"/>
          <w:sz w:val="24"/>
          <w:szCs w:val="24"/>
          <w:highlight w:val="none"/>
        </w:rPr>
        <w:t>响应文件开启</w:t>
      </w:r>
      <w:bookmarkEnd w:id="38"/>
      <w:bookmarkEnd w:id="39"/>
      <w:bookmarkEnd w:id="40"/>
      <w:bookmarkEnd w:id="41"/>
    </w:p>
    <w:p w14:paraId="39332A47">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1、时间：</w:t>
      </w:r>
      <w:r>
        <w:rPr>
          <w:rFonts w:hint="eastAsia" w:ascii="仿宋" w:hAnsi="仿宋" w:eastAsia="仿宋" w:cs="仿宋"/>
          <w:bCs/>
          <w:color w:val="auto"/>
          <w:sz w:val="24"/>
          <w:szCs w:val="24"/>
          <w:highlight w:val="none"/>
          <w:u w:val="single"/>
          <w:lang w:val="en-US" w:eastAsia="zh-CN"/>
        </w:rPr>
        <w:t>2026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lang w:val="en-US" w:eastAsia="zh-CN"/>
        </w:rPr>
        <w:t>6</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lang w:val="en-US" w:eastAsia="zh-CN"/>
        </w:rPr>
        <w:t>18</w:t>
      </w: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u w:val="single"/>
          <w:lang w:val="en-US" w:eastAsia="zh-CN"/>
        </w:rPr>
        <w:t>9</w:t>
      </w:r>
      <w:r>
        <w:rPr>
          <w:rFonts w:hint="eastAsia" w:ascii="仿宋" w:hAnsi="仿宋" w:eastAsia="仿宋" w:cs="仿宋"/>
          <w:bCs/>
          <w:color w:val="auto"/>
          <w:sz w:val="24"/>
          <w:szCs w:val="24"/>
          <w:highlight w:val="none"/>
        </w:rPr>
        <w:t>点</w:t>
      </w:r>
      <w:r>
        <w:rPr>
          <w:rFonts w:hint="eastAsia" w:ascii="仿宋" w:hAnsi="仿宋" w:eastAsia="仿宋" w:cs="仿宋"/>
          <w:bCs/>
          <w:color w:val="auto"/>
          <w:sz w:val="24"/>
          <w:szCs w:val="24"/>
          <w:highlight w:val="none"/>
          <w:u w:val="single"/>
          <w:lang w:val="en-US" w:eastAsia="zh-CN"/>
        </w:rPr>
        <w:t>00</w:t>
      </w:r>
      <w:r>
        <w:rPr>
          <w:rFonts w:hint="eastAsia" w:ascii="仿宋" w:hAnsi="仿宋" w:eastAsia="仿宋" w:cs="仿宋"/>
          <w:bCs/>
          <w:color w:val="auto"/>
          <w:sz w:val="24"/>
          <w:szCs w:val="24"/>
          <w:highlight w:val="none"/>
        </w:rPr>
        <w:t>分</w:t>
      </w:r>
      <w:r>
        <w:rPr>
          <w:rFonts w:hint="eastAsia" w:ascii="仿宋" w:hAnsi="仿宋" w:eastAsia="仿宋" w:cs="仿宋"/>
          <w:color w:val="auto"/>
          <w:sz w:val="24"/>
          <w:szCs w:val="24"/>
          <w:highlight w:val="none"/>
        </w:rPr>
        <w:t>（北京时间）</w:t>
      </w:r>
    </w:p>
    <w:p w14:paraId="391918D8">
      <w:pPr>
        <w:pStyle w:val="15"/>
        <w:pageBreakBefore w:val="0"/>
        <w:kinsoku/>
        <w:wordWrap/>
        <w:overflowPunct/>
        <w:topLinePunct w:val="0"/>
        <w:autoSpaceDE/>
        <w:autoSpaceDN/>
        <w:bidi w:val="0"/>
        <w:adjustRightInd/>
        <w:snapToGrid/>
        <w:spacing w:after="0" w:line="540" w:lineRule="exact"/>
        <w:ind w:left="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2、地点：六安市城市管理局</w:t>
      </w:r>
      <w:r>
        <w:rPr>
          <w:rFonts w:hint="eastAsia" w:ascii="仿宋" w:hAnsi="仿宋" w:eastAsia="仿宋" w:cs="仿宋"/>
          <w:color w:val="auto"/>
          <w:sz w:val="24"/>
          <w:szCs w:val="24"/>
          <w:highlight w:val="none"/>
          <w:lang w:val="en-US" w:eastAsia="zh-CN"/>
        </w:rPr>
        <w:t>会议室</w:t>
      </w:r>
    </w:p>
    <w:p w14:paraId="0756F85C">
      <w:pPr>
        <w:pStyle w:val="2"/>
        <w:pageBreakBefore w:val="0"/>
        <w:kinsoku/>
        <w:wordWrap/>
        <w:overflowPunct/>
        <w:topLinePunct w:val="0"/>
        <w:autoSpaceDE/>
        <w:autoSpaceDN/>
        <w:bidi w:val="0"/>
        <w:adjustRightInd/>
        <w:snapToGrid/>
        <w:spacing w:before="0" w:after="0" w:line="540" w:lineRule="exact"/>
        <w:ind w:left="0"/>
        <w:jc w:val="both"/>
        <w:textAlignment w:val="auto"/>
        <w:rPr>
          <w:rFonts w:hint="eastAsia" w:ascii="仿宋" w:hAnsi="仿宋" w:eastAsia="仿宋" w:cs="仿宋"/>
          <w:b w:val="0"/>
          <w:bCs/>
          <w:color w:val="auto"/>
          <w:sz w:val="24"/>
          <w:szCs w:val="24"/>
          <w:highlight w:val="none"/>
        </w:rPr>
      </w:pPr>
      <w:bookmarkStart w:id="42" w:name="_Toc20464"/>
      <w:bookmarkStart w:id="43" w:name="_Toc35393634"/>
      <w:bookmarkStart w:id="44" w:name="_Toc28359094"/>
      <w:bookmarkStart w:id="45" w:name="_Toc3084"/>
      <w:bookmarkStart w:id="46" w:name="_Toc35393803"/>
      <w:bookmarkStart w:id="47" w:name="_Toc29465"/>
      <w:bookmarkStart w:id="48" w:name="_Toc28359017"/>
      <w:bookmarkStart w:id="49" w:name="_Toc6439"/>
      <w:r>
        <w:rPr>
          <w:rFonts w:hint="eastAsia" w:ascii="仿宋" w:hAnsi="仿宋" w:eastAsia="仿宋" w:cs="仿宋"/>
          <w:b w:val="0"/>
          <w:bCs/>
          <w:color w:val="auto"/>
          <w:sz w:val="24"/>
          <w:szCs w:val="24"/>
          <w:highlight w:val="none"/>
        </w:rPr>
        <w:t>六、公告期限</w:t>
      </w:r>
      <w:bookmarkEnd w:id="42"/>
      <w:bookmarkEnd w:id="43"/>
      <w:bookmarkEnd w:id="44"/>
      <w:bookmarkEnd w:id="45"/>
      <w:bookmarkEnd w:id="46"/>
      <w:bookmarkEnd w:id="47"/>
      <w:bookmarkEnd w:id="48"/>
      <w:bookmarkEnd w:id="49"/>
    </w:p>
    <w:p w14:paraId="24EC5296">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自本公告发布之日起3个工作日。</w:t>
      </w:r>
    </w:p>
    <w:p w14:paraId="0D319563">
      <w:pPr>
        <w:pageBreakBefore w:val="0"/>
        <w:kinsoku/>
        <w:wordWrap/>
        <w:overflowPunct/>
        <w:topLinePunct w:val="0"/>
        <w:autoSpaceDE/>
        <w:autoSpaceDN/>
        <w:bidi w:val="0"/>
        <w:adjustRightInd/>
        <w:snapToGrid/>
        <w:spacing w:line="54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bookmarkStart w:id="50" w:name="_Toc35393635"/>
      <w:bookmarkStart w:id="51" w:name="_Toc35393804"/>
      <w:r>
        <w:rPr>
          <w:rFonts w:hint="eastAsia" w:ascii="仿宋" w:hAnsi="仿宋" w:eastAsia="仿宋" w:cs="仿宋"/>
          <w:color w:val="auto"/>
          <w:sz w:val="24"/>
          <w:szCs w:val="24"/>
          <w:highlight w:val="none"/>
        </w:rPr>
        <w:t>其他事宜</w:t>
      </w:r>
      <w:bookmarkEnd w:id="50"/>
      <w:bookmarkEnd w:id="51"/>
      <w:bookmarkStart w:id="52" w:name="_Toc35393636"/>
      <w:bookmarkStart w:id="53" w:name="_Toc28359095"/>
      <w:bookmarkStart w:id="54" w:name="_Toc35393805"/>
      <w:bookmarkStart w:id="55" w:name="_Toc28359018"/>
    </w:p>
    <w:bookmarkEnd w:id="52"/>
    <w:bookmarkEnd w:id="53"/>
    <w:bookmarkEnd w:id="54"/>
    <w:bookmarkEnd w:id="55"/>
    <w:p w14:paraId="146581F5">
      <w:pPr>
        <w:keepNext w:val="0"/>
        <w:keepLines w:val="0"/>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（1）按照财政部、工业和信息化部制定的《政府采购促进中小企业发展管理办法》，本项目为专门面向中小企业采购项目。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文件中须提供《中小企业声明函》，企业划型标准按照《关于印发中小企业划型标准规定的通知》（工信部联企业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300号）规定执行。</w:t>
      </w:r>
    </w:p>
    <w:p w14:paraId="7F595C52">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2）供应商应当按照本项目采购文件规定的时间和地点参与谈判，供应商仅确定一名人员参加，法定代表人持本人二代居民身份证原件（或授权委托代理人持本人二代居民身份证原件和法人授权委托书原件）凡不能出示上述有效证件或到场人员与证件载明的人员不一致或未出席谈判会议者，响应文件不予接受，谈判资格无效。</w:t>
      </w:r>
    </w:p>
    <w:p w14:paraId="217E6746">
      <w:pPr>
        <w:pStyle w:val="2"/>
        <w:pageBreakBefore w:val="0"/>
        <w:widowControl/>
        <w:kinsoku/>
        <w:wordWrap/>
        <w:overflowPunct/>
        <w:topLinePunct w:val="0"/>
        <w:autoSpaceDE/>
        <w:autoSpaceDN/>
        <w:bidi w:val="0"/>
        <w:adjustRightInd/>
        <w:snapToGrid/>
        <w:spacing w:before="0" w:after="0" w:line="540" w:lineRule="exact"/>
        <w:ind w:left="0" w:firstLine="0"/>
        <w:jc w:val="both"/>
        <w:textAlignment w:val="auto"/>
        <w:rPr>
          <w:rFonts w:hint="eastAsia" w:ascii="仿宋" w:hAnsi="仿宋" w:eastAsia="仿宋" w:cs="仿宋"/>
          <w:b w:val="0"/>
          <w:bCs w:val="0"/>
          <w:color w:val="auto"/>
          <w:kern w:val="0"/>
          <w:sz w:val="24"/>
          <w:szCs w:val="24"/>
          <w:highlight w:val="none"/>
        </w:rPr>
      </w:pPr>
      <w:bookmarkStart w:id="56" w:name="_Toc19777"/>
      <w:bookmarkStart w:id="57" w:name="_Toc26145"/>
      <w:bookmarkStart w:id="58" w:name="_Toc21041"/>
      <w:bookmarkStart w:id="59" w:name="_Toc22370"/>
      <w:r>
        <w:rPr>
          <w:rFonts w:hint="eastAsia" w:ascii="仿宋" w:hAnsi="仿宋" w:eastAsia="仿宋" w:cs="仿宋"/>
          <w:b w:val="0"/>
          <w:bCs w:val="0"/>
          <w:color w:val="auto"/>
          <w:kern w:val="0"/>
          <w:sz w:val="24"/>
          <w:szCs w:val="24"/>
          <w:highlight w:val="none"/>
        </w:rPr>
        <w:t>七、对本次招标提出询问，请按以下方式联系。</w:t>
      </w:r>
      <w:bookmarkEnd w:id="56"/>
      <w:bookmarkEnd w:id="57"/>
      <w:bookmarkEnd w:id="58"/>
      <w:bookmarkEnd w:id="59"/>
    </w:p>
    <w:p w14:paraId="0C029C15">
      <w:pPr>
        <w:pageBreakBefore w:val="0"/>
        <w:widowControl/>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bidi="ar"/>
        </w:rPr>
        <w:t>1.</w:t>
      </w:r>
      <w:r>
        <w:rPr>
          <w:rFonts w:hint="eastAsia" w:ascii="仿宋" w:hAnsi="仿宋" w:eastAsia="仿宋" w:cs="仿宋"/>
          <w:bCs/>
          <w:color w:val="auto"/>
          <w:sz w:val="24"/>
          <w:szCs w:val="24"/>
          <w:highlight w:val="none"/>
          <w:lang w:bidi="ar"/>
        </w:rPr>
        <w:t>采购人信息</w:t>
      </w:r>
    </w:p>
    <w:p w14:paraId="5AE85E97">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名  称：</w:t>
      </w:r>
      <w:r>
        <w:rPr>
          <w:rFonts w:hint="eastAsia" w:ascii="仿宋" w:hAnsi="仿宋" w:eastAsia="仿宋" w:cs="仿宋"/>
          <w:color w:val="auto"/>
          <w:sz w:val="24"/>
          <w:szCs w:val="24"/>
          <w:highlight w:val="none"/>
          <w:lang w:val="en-US" w:eastAsia="zh-CN"/>
        </w:rPr>
        <w:t>六安市城市管理局</w:t>
      </w:r>
    </w:p>
    <w:p w14:paraId="17FE3690">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bidi="ar"/>
        </w:rPr>
        <w:t>地  址：</w:t>
      </w:r>
      <w:r>
        <w:rPr>
          <w:rFonts w:hint="eastAsia" w:ascii="仿宋" w:hAnsi="仿宋" w:eastAsia="仿宋" w:cs="仿宋"/>
          <w:bCs/>
          <w:color w:val="auto"/>
          <w:sz w:val="24"/>
          <w:szCs w:val="24"/>
          <w:highlight w:val="none"/>
          <w:lang w:val="en-US" w:eastAsia="zh-CN" w:bidi="ar"/>
        </w:rPr>
        <w:t>六安市佛子岭路167号</w:t>
      </w:r>
    </w:p>
    <w:p w14:paraId="789BFE29">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lang w:bidi="ar"/>
        </w:rPr>
        <w:t>联系方式：</w:t>
      </w:r>
      <w:r>
        <w:rPr>
          <w:rFonts w:hint="eastAsia" w:ascii="仿宋" w:hAnsi="仿宋" w:eastAsia="仿宋" w:cs="仿宋"/>
          <w:bCs/>
          <w:color w:val="auto"/>
          <w:sz w:val="24"/>
          <w:szCs w:val="24"/>
          <w:highlight w:val="none"/>
          <w:lang w:val="en-US" w:eastAsia="zh-CN" w:bidi="ar"/>
        </w:rPr>
        <w:t>0564-3377813</w:t>
      </w:r>
    </w:p>
    <w:p w14:paraId="55612322">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bidi="ar"/>
        </w:rPr>
        <w:t>2</w:t>
      </w:r>
      <w:r>
        <w:rPr>
          <w:rFonts w:hint="eastAsia" w:ascii="仿宋" w:hAnsi="仿宋" w:eastAsia="仿宋" w:cs="仿宋"/>
          <w:bCs/>
          <w:color w:val="auto"/>
          <w:sz w:val="24"/>
          <w:szCs w:val="24"/>
          <w:highlight w:val="none"/>
          <w:lang w:bidi="ar"/>
        </w:rPr>
        <w:t>.采购代理机构信息</w:t>
      </w:r>
    </w:p>
    <w:p w14:paraId="5FC4E312">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lang w:bidi="ar"/>
        </w:rPr>
      </w:pPr>
      <w:r>
        <w:rPr>
          <w:rFonts w:hint="eastAsia" w:ascii="仿宋" w:hAnsi="仿宋" w:eastAsia="仿宋" w:cs="仿宋"/>
          <w:bCs/>
          <w:color w:val="auto"/>
          <w:sz w:val="24"/>
          <w:szCs w:val="24"/>
          <w:highlight w:val="none"/>
          <w:lang w:bidi="ar"/>
        </w:rPr>
        <w:t>名  称：</w:t>
      </w:r>
      <w:r>
        <w:rPr>
          <w:rFonts w:hint="eastAsia" w:ascii="仿宋" w:hAnsi="仿宋" w:eastAsia="仿宋" w:cs="仿宋"/>
          <w:bCs/>
          <w:color w:val="auto"/>
          <w:sz w:val="24"/>
          <w:szCs w:val="24"/>
          <w:highlight w:val="none"/>
          <w:lang w:val="en-US" w:eastAsia="zh-CN" w:bidi="ar"/>
        </w:rPr>
        <w:t>安徽万隆建设项目管理有限公司</w:t>
      </w:r>
    </w:p>
    <w:p w14:paraId="41F8E13E">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地  址：</w:t>
      </w:r>
      <w:r>
        <w:rPr>
          <w:rFonts w:hint="eastAsia" w:ascii="仿宋" w:hAnsi="仿宋" w:eastAsia="仿宋" w:cs="仿宋"/>
          <w:bCs/>
          <w:color w:val="auto"/>
          <w:sz w:val="24"/>
          <w:szCs w:val="24"/>
          <w:highlight w:val="none"/>
          <w:lang w:val="en-US" w:eastAsia="zh-CN" w:bidi="ar"/>
        </w:rPr>
        <w:t>霍山县淠河新区38号楼三楼</w:t>
      </w:r>
    </w:p>
    <w:p w14:paraId="092C6FDE">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联系方式：</w:t>
      </w:r>
      <w:r>
        <w:rPr>
          <w:rFonts w:hint="eastAsia" w:ascii="仿宋" w:hAnsi="仿宋" w:eastAsia="仿宋" w:cs="仿宋"/>
          <w:bCs/>
          <w:color w:val="auto"/>
          <w:sz w:val="24"/>
          <w:szCs w:val="24"/>
          <w:highlight w:val="none"/>
          <w:lang w:val="en-US" w:eastAsia="zh-CN" w:bidi="ar"/>
        </w:rPr>
        <w:t>0564-5021598</w:t>
      </w:r>
    </w:p>
    <w:p w14:paraId="017161AE">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bidi="ar"/>
        </w:rPr>
        <w:t>3</w:t>
      </w:r>
      <w:r>
        <w:rPr>
          <w:rFonts w:hint="eastAsia" w:ascii="仿宋" w:hAnsi="仿宋" w:eastAsia="仿宋" w:cs="仿宋"/>
          <w:bCs/>
          <w:color w:val="auto"/>
          <w:sz w:val="24"/>
          <w:szCs w:val="24"/>
          <w:highlight w:val="none"/>
          <w:lang w:bidi="ar"/>
        </w:rPr>
        <w:t>.项目联系方式</w:t>
      </w:r>
    </w:p>
    <w:p w14:paraId="6E691052">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lang w:bidi="ar"/>
        </w:rPr>
      </w:pPr>
      <w:r>
        <w:rPr>
          <w:rFonts w:hint="eastAsia" w:ascii="仿宋" w:hAnsi="仿宋" w:eastAsia="仿宋" w:cs="仿宋"/>
          <w:bCs/>
          <w:color w:val="auto"/>
          <w:sz w:val="24"/>
          <w:szCs w:val="24"/>
          <w:highlight w:val="none"/>
          <w:lang w:bidi="ar"/>
        </w:rPr>
        <w:t>项目联系人：</w:t>
      </w:r>
      <w:r>
        <w:rPr>
          <w:rFonts w:hint="eastAsia" w:ascii="仿宋" w:hAnsi="仿宋" w:eastAsia="仿宋" w:cs="仿宋"/>
          <w:bCs/>
          <w:color w:val="auto"/>
          <w:sz w:val="24"/>
          <w:szCs w:val="24"/>
          <w:highlight w:val="none"/>
          <w:lang w:val="en-US" w:eastAsia="zh-CN" w:bidi="ar"/>
        </w:rPr>
        <w:t>王工</w:t>
      </w:r>
    </w:p>
    <w:p w14:paraId="2F99AC2A">
      <w:pPr>
        <w:pageBreakBefore w:val="0"/>
        <w:kinsoku/>
        <w:wordWrap/>
        <w:overflowPunct/>
        <w:topLinePunct w:val="0"/>
        <w:autoSpaceDE/>
        <w:autoSpaceDN/>
        <w:bidi w:val="0"/>
        <w:adjustRightInd/>
        <w:snapToGrid/>
        <w:spacing w:line="540" w:lineRule="exact"/>
        <w:ind w:lef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电  话：</w:t>
      </w:r>
      <w:r>
        <w:rPr>
          <w:rFonts w:hint="eastAsia" w:ascii="仿宋" w:hAnsi="仿宋" w:eastAsia="仿宋" w:cs="仿宋"/>
          <w:bCs/>
          <w:color w:val="auto"/>
          <w:sz w:val="24"/>
          <w:szCs w:val="24"/>
          <w:highlight w:val="none"/>
          <w:lang w:val="en-US" w:eastAsia="zh-CN" w:bidi="ar"/>
        </w:rPr>
        <w:t>0564-5021598</w:t>
      </w:r>
    </w:p>
    <w:p w14:paraId="5D5F1643">
      <w:pPr>
        <w:pageBreakBefore w:val="0"/>
        <w:kinsoku/>
        <w:wordWrap/>
        <w:overflowPunct/>
        <w:topLinePunct w:val="0"/>
        <w:autoSpaceDE/>
        <w:autoSpaceDN/>
        <w:bidi w:val="0"/>
        <w:adjustRightInd/>
        <w:snapToGrid/>
        <w:spacing w:line="540" w:lineRule="exact"/>
        <w:ind w:firstLine="435"/>
        <w:jc w:val="right"/>
        <w:textAlignment w:val="auto"/>
        <w:rPr>
          <w:rFonts w:hint="eastAsia" w:ascii="仿宋" w:hAnsi="仿宋" w:eastAsia="仿宋" w:cs="仿宋"/>
          <w:color w:val="auto"/>
          <w:sz w:val="24"/>
          <w:szCs w:val="18"/>
          <w:highlight w:val="none"/>
        </w:rPr>
      </w:pPr>
      <w:r>
        <w:rPr>
          <w:rFonts w:hint="eastAsia" w:ascii="仿宋" w:hAnsi="仿宋" w:eastAsia="仿宋" w:cs="仿宋"/>
          <w:bCs/>
          <w:color w:val="auto"/>
          <w:sz w:val="24"/>
          <w:szCs w:val="24"/>
          <w:highlight w:val="none"/>
          <w:lang w:val="en-US" w:eastAsia="zh-CN"/>
        </w:rPr>
        <w:t>2026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w:t>
      </w:r>
      <w:r>
        <w:rPr>
          <w:rFonts w:hint="eastAsia" w:ascii="仿宋" w:hAnsi="仿宋" w:eastAsia="仿宋" w:cs="仿宋"/>
          <w:color w:val="auto"/>
          <w:sz w:val="24"/>
          <w:szCs w:val="18"/>
          <w:highlight w:val="none"/>
        </w:rPr>
        <w:br w:type="page"/>
      </w:r>
    </w:p>
    <w:p w14:paraId="66092C04">
      <w:pPr>
        <w:spacing w:line="360" w:lineRule="auto"/>
        <w:jc w:val="center"/>
        <w:outlineLvl w:val="0"/>
        <w:rPr>
          <w:rFonts w:hint="eastAsia" w:ascii="仿宋" w:hAnsi="仿宋" w:eastAsia="仿宋" w:cs="仿宋"/>
          <w:b/>
          <w:color w:val="auto"/>
          <w:sz w:val="28"/>
          <w:highlight w:val="none"/>
        </w:rPr>
      </w:pPr>
      <w:bookmarkStart w:id="60" w:name="_Toc5721"/>
      <w:r>
        <w:rPr>
          <w:rFonts w:hint="eastAsia" w:ascii="仿宋" w:hAnsi="仿宋" w:eastAsia="仿宋" w:cs="仿宋"/>
          <w:b/>
          <w:color w:val="auto"/>
          <w:sz w:val="28"/>
          <w:highlight w:val="none"/>
        </w:rPr>
        <w:t>第二章  供应商须知</w:t>
      </w:r>
      <w:bookmarkEnd w:id="60"/>
    </w:p>
    <w:p w14:paraId="7FD134B2">
      <w:pPr>
        <w:spacing w:line="360" w:lineRule="auto"/>
        <w:jc w:val="center"/>
        <w:outlineLvl w:val="1"/>
        <w:rPr>
          <w:rFonts w:hint="eastAsia" w:ascii="仿宋" w:hAnsi="仿宋" w:eastAsia="仿宋" w:cs="仿宋"/>
          <w:b/>
          <w:color w:val="auto"/>
          <w:sz w:val="24"/>
          <w:highlight w:val="none"/>
        </w:rPr>
      </w:pPr>
      <w:bookmarkStart w:id="61" w:name="_Toc27956"/>
      <w:bookmarkStart w:id="62" w:name="_Toc16645"/>
      <w:r>
        <w:rPr>
          <w:rFonts w:hint="eastAsia" w:ascii="仿宋" w:hAnsi="仿宋" w:eastAsia="仿宋" w:cs="仿宋"/>
          <w:b/>
          <w:color w:val="auto"/>
          <w:sz w:val="24"/>
          <w:highlight w:val="none"/>
        </w:rPr>
        <w:t>一、供应商须知前附表</w:t>
      </w:r>
      <w:bookmarkEnd w:id="61"/>
      <w:bookmarkEnd w:id="62"/>
    </w:p>
    <w:p w14:paraId="572899D8">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b/>
          <w:bCs/>
          <w:color w:val="auto"/>
          <w:sz w:val="24"/>
          <w:szCs w:val="18"/>
          <w:highlight w:val="none"/>
        </w:rPr>
        <w:t>注：</w:t>
      </w:r>
      <w:r>
        <w:rPr>
          <w:rFonts w:hint="eastAsia" w:ascii="仿宋" w:hAnsi="仿宋" w:eastAsia="仿宋" w:cs="仿宋"/>
          <w:color w:val="auto"/>
          <w:sz w:val="24"/>
          <w:szCs w:val="18"/>
          <w:highlight w:val="none"/>
        </w:rPr>
        <w:t>本表是本项目的具体要求，是对供应商须知的具体补充和修改，如有不一致，以本表为准。</w:t>
      </w:r>
    </w:p>
    <w:tbl>
      <w:tblPr>
        <w:tblStyle w:val="16"/>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682"/>
        <w:gridCol w:w="1467"/>
        <w:gridCol w:w="7662"/>
      </w:tblGrid>
      <w:tr w14:paraId="65A5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1C07D792">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条款号</w:t>
            </w:r>
          </w:p>
        </w:tc>
        <w:tc>
          <w:tcPr>
            <w:tcW w:w="747" w:type="pct"/>
            <w:vAlign w:val="center"/>
          </w:tcPr>
          <w:p w14:paraId="7D66BA07">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条款名称</w:t>
            </w:r>
          </w:p>
        </w:tc>
        <w:tc>
          <w:tcPr>
            <w:tcW w:w="3904" w:type="pct"/>
            <w:vAlign w:val="center"/>
          </w:tcPr>
          <w:p w14:paraId="5F83B961">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内容、说明与要求</w:t>
            </w:r>
          </w:p>
        </w:tc>
      </w:tr>
      <w:tr w14:paraId="55B9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0ECC988C">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5</w:t>
            </w:r>
            <w:r>
              <w:rPr>
                <w:rFonts w:hint="eastAsia" w:ascii="仿宋" w:hAnsi="仿宋" w:eastAsia="仿宋" w:cs="仿宋"/>
                <w:bCs/>
                <w:color w:val="auto"/>
                <w:kern w:val="2"/>
                <w:highlight w:val="none"/>
              </w:rPr>
              <w:t>.</w:t>
            </w:r>
            <w:r>
              <w:rPr>
                <w:rFonts w:hint="eastAsia" w:ascii="仿宋" w:hAnsi="仿宋" w:eastAsia="仿宋" w:cs="仿宋"/>
                <w:bCs/>
                <w:color w:val="auto"/>
                <w:kern w:val="2"/>
                <w:highlight w:val="none"/>
                <w:lang w:val="en-US" w:eastAsia="zh-CN"/>
              </w:rPr>
              <w:t>2</w:t>
            </w:r>
          </w:p>
        </w:tc>
        <w:tc>
          <w:tcPr>
            <w:tcW w:w="747" w:type="pct"/>
            <w:vAlign w:val="center"/>
          </w:tcPr>
          <w:p w14:paraId="573E4B04">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bCs/>
                <w:color w:val="auto"/>
                <w:kern w:val="2"/>
                <w:sz w:val="24"/>
                <w:szCs w:val="22"/>
                <w:highlight w:val="none"/>
                <w:lang w:val="en-US" w:eastAsia="zh-CN" w:bidi="ar-SA"/>
              </w:rPr>
              <w:t>现场考察或标前答疑会</w:t>
            </w:r>
          </w:p>
        </w:tc>
        <w:tc>
          <w:tcPr>
            <w:tcW w:w="3904" w:type="pct"/>
            <w:vAlign w:val="center"/>
          </w:tcPr>
          <w:p w14:paraId="380E28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highlight w:val="none"/>
              </w:rPr>
              <w:t>不组织</w:t>
            </w:r>
            <w:r>
              <w:rPr>
                <w:rFonts w:hint="eastAsia" w:ascii="仿宋" w:hAnsi="仿宋" w:eastAsia="仿宋" w:cs="仿宋"/>
                <w:color w:val="auto"/>
                <w:sz w:val="24"/>
                <w:highlight w:val="none"/>
                <w:lang w:val="en-US" w:eastAsia="zh-CN"/>
              </w:rPr>
              <w:t>或不召开</w:t>
            </w:r>
          </w:p>
          <w:p w14:paraId="5C585B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统一组织</w:t>
            </w:r>
            <w:r>
              <w:rPr>
                <w:rFonts w:hint="eastAsia" w:ascii="仿宋" w:hAnsi="仿宋" w:eastAsia="仿宋" w:cs="仿宋"/>
                <w:bCs/>
                <w:color w:val="auto"/>
                <w:sz w:val="24"/>
                <w:highlight w:val="none"/>
                <w:lang w:val="en-US" w:eastAsia="zh-CN"/>
              </w:rPr>
              <w:t>或统一召开</w:t>
            </w:r>
          </w:p>
          <w:p w14:paraId="035595DE">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时间：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时</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分</w:t>
            </w:r>
          </w:p>
          <w:p w14:paraId="7B6B593F">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p>
          <w:p w14:paraId="591F3B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联系人及联系电话：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p>
          <w:p w14:paraId="606F09C4">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Cs w:val="0"/>
                <w:color w:val="auto"/>
                <w:sz w:val="24"/>
                <w:highlight w:val="none"/>
                <w:lang w:eastAsia="zh-CN"/>
              </w:rPr>
              <w:t>注：</w:t>
            </w:r>
            <w:r>
              <w:rPr>
                <w:rFonts w:hint="eastAsia" w:ascii="仿宋" w:hAnsi="仿宋" w:eastAsia="仿宋" w:cs="仿宋"/>
                <w:b w:val="0"/>
                <w:bCs/>
                <w:color w:val="auto"/>
                <w:sz w:val="24"/>
                <w:highlight w:val="none"/>
              </w:rPr>
              <w:t>如供应商未参加采购人统一组织的现场考察</w:t>
            </w:r>
            <w:r>
              <w:rPr>
                <w:rFonts w:hint="eastAsia" w:ascii="仿宋" w:hAnsi="仿宋" w:eastAsia="仿宋" w:cs="仿宋"/>
                <w:b w:val="0"/>
                <w:bCs/>
                <w:color w:val="auto"/>
                <w:sz w:val="24"/>
                <w:highlight w:val="none"/>
                <w:lang w:val="en-US" w:eastAsia="zh-CN"/>
              </w:rPr>
              <w:t>或采购人统一召开的标前答疑会</w:t>
            </w:r>
            <w:r>
              <w:rPr>
                <w:rFonts w:hint="eastAsia" w:ascii="仿宋" w:hAnsi="仿宋" w:eastAsia="仿宋" w:cs="仿宋"/>
                <w:b w:val="0"/>
                <w:bCs/>
                <w:color w:val="auto"/>
                <w:sz w:val="24"/>
                <w:highlight w:val="none"/>
              </w:rPr>
              <w:t>，视同放弃现场考察</w:t>
            </w:r>
            <w:r>
              <w:rPr>
                <w:rFonts w:hint="eastAsia" w:ascii="仿宋" w:hAnsi="仿宋" w:eastAsia="仿宋" w:cs="仿宋"/>
                <w:b w:val="0"/>
                <w:bCs/>
                <w:color w:val="auto"/>
                <w:sz w:val="24"/>
                <w:highlight w:val="none"/>
                <w:lang w:val="en-US" w:eastAsia="zh-CN"/>
              </w:rPr>
              <w:t>或标前答疑会</w:t>
            </w:r>
            <w:r>
              <w:rPr>
                <w:rFonts w:hint="eastAsia" w:ascii="仿宋" w:hAnsi="仿宋" w:eastAsia="仿宋" w:cs="仿宋"/>
                <w:b w:val="0"/>
                <w:bCs/>
                <w:color w:val="auto"/>
                <w:sz w:val="24"/>
                <w:highlight w:val="none"/>
              </w:rPr>
              <w:t>，由此引起的一切责任由供应商自行承担。</w:t>
            </w:r>
          </w:p>
        </w:tc>
      </w:tr>
      <w:tr w14:paraId="78F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1414D85B">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6.1</w:t>
            </w:r>
          </w:p>
        </w:tc>
        <w:tc>
          <w:tcPr>
            <w:tcW w:w="747" w:type="pct"/>
            <w:vAlign w:val="center"/>
          </w:tcPr>
          <w:p w14:paraId="030259E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网上询问</w:t>
            </w:r>
            <w:r>
              <w:rPr>
                <w:rFonts w:hint="eastAsia" w:ascii="仿宋" w:hAnsi="仿宋" w:eastAsia="仿宋" w:cs="仿宋"/>
                <w:b w:val="0"/>
                <w:color w:val="auto"/>
                <w:sz w:val="24"/>
                <w:highlight w:val="none"/>
                <w:lang w:val="en-US" w:eastAsia="zh-CN"/>
              </w:rPr>
              <w:t>方式</w:t>
            </w:r>
          </w:p>
        </w:tc>
        <w:tc>
          <w:tcPr>
            <w:tcW w:w="3904" w:type="pct"/>
            <w:vAlign w:val="center"/>
          </w:tcPr>
          <w:p w14:paraId="7664DB5E">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若对采购文件有关内容存在理解障碍，或认为采购文件表述有模糊不清之处，可通过电联向采购人（或采购代理机构）提出，该渠道仅接受关于项目的一般性疑问（非质疑），供应商提问时应当隐藏自身信息，直接提出针对项目的相关疑问即可。</w:t>
            </w:r>
          </w:p>
          <w:p w14:paraId="1CB179DF">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bCs/>
                <w:color w:val="auto"/>
                <w:sz w:val="24"/>
                <w:szCs w:val="24"/>
                <w:highlight w:val="none"/>
                <w:lang w:val="en-US" w:eastAsia="zh-CN"/>
              </w:rPr>
              <w:t>（2）对采购文件进行的澄清、更正或更改，将在网站上及时发布，请供应商及时关注网站公告栏目查看回复内容。</w:t>
            </w:r>
          </w:p>
        </w:tc>
      </w:tr>
      <w:tr w14:paraId="4705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014" w:hRule="atLeast"/>
          <w:jc w:val="center"/>
        </w:trPr>
        <w:tc>
          <w:tcPr>
            <w:tcW w:w="347" w:type="pct"/>
            <w:vAlign w:val="center"/>
          </w:tcPr>
          <w:p w14:paraId="401086AE">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7</w:t>
            </w:r>
            <w:r>
              <w:rPr>
                <w:rFonts w:hint="eastAsia" w:ascii="仿宋" w:hAnsi="仿宋" w:eastAsia="仿宋" w:cs="仿宋"/>
                <w:bCs/>
                <w:color w:val="auto"/>
                <w:kern w:val="2"/>
                <w:highlight w:val="none"/>
              </w:rPr>
              <w:t>.1</w:t>
            </w:r>
          </w:p>
        </w:tc>
        <w:tc>
          <w:tcPr>
            <w:tcW w:w="747" w:type="pct"/>
            <w:vAlign w:val="center"/>
          </w:tcPr>
          <w:p w14:paraId="49C8F92C">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包别划分</w:t>
            </w:r>
          </w:p>
        </w:tc>
        <w:tc>
          <w:tcPr>
            <w:tcW w:w="3904" w:type="pct"/>
            <w:vAlign w:val="center"/>
          </w:tcPr>
          <w:p w14:paraId="7211BB63">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□不分包     ☑分为3个包</w:t>
            </w:r>
          </w:p>
          <w:p w14:paraId="5D6D4D6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val="0"/>
                <w:color w:val="auto"/>
                <w:sz w:val="24"/>
                <w:highlight w:val="none"/>
              </w:rPr>
            </w:pPr>
            <w:r>
              <w:rPr>
                <w:rFonts w:hint="eastAsia" w:ascii="仿宋" w:hAnsi="仿宋" w:eastAsia="仿宋" w:cs="仿宋"/>
                <w:b w:val="0"/>
                <w:bCs/>
                <w:color w:val="auto"/>
                <w:sz w:val="24"/>
                <w:szCs w:val="24"/>
                <w:highlight w:val="none"/>
                <w:lang w:val="en-US" w:eastAsia="zh-CN"/>
              </w:rPr>
              <w:t>供应商参加多个包谈判的成交包数规定：供应商可分投也可全投，但最多只能中其中一个包。开评标按照第一包、第二包、第三包的先后顺序进行，供应商若成为排序在前包别的成交供应商，其响应文件仍参与后续包别的评审，但不再被推荐为成交供应商，自动放弃排序在后包别的成交供应商资格。供应商须按包分别编制响应文件，分别递交。</w:t>
            </w:r>
          </w:p>
        </w:tc>
      </w:tr>
      <w:tr w14:paraId="7F56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58" w:hRule="atLeast"/>
          <w:jc w:val="center"/>
        </w:trPr>
        <w:tc>
          <w:tcPr>
            <w:tcW w:w="347" w:type="pct"/>
            <w:shd w:val="clear" w:color="auto" w:fill="auto"/>
            <w:vAlign w:val="center"/>
          </w:tcPr>
          <w:p w14:paraId="69F9F6B9">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9.4</w:t>
            </w:r>
          </w:p>
        </w:tc>
        <w:tc>
          <w:tcPr>
            <w:tcW w:w="747" w:type="pct"/>
            <w:shd w:val="clear" w:color="auto" w:fill="auto"/>
            <w:vAlign w:val="center"/>
          </w:tcPr>
          <w:p w14:paraId="438617E0">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highlight w:val="none"/>
                <w:lang w:val="en-US" w:eastAsia="zh-CN"/>
              </w:rPr>
              <w:t>异常低价响应审查</w:t>
            </w:r>
          </w:p>
        </w:tc>
        <w:tc>
          <w:tcPr>
            <w:tcW w:w="3904" w:type="pct"/>
            <w:shd w:val="clear" w:color="auto" w:fill="auto"/>
            <w:vAlign w:val="center"/>
          </w:tcPr>
          <w:p w14:paraId="27CF2C5A">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根据财政部《关于推动解决政府采购异常低价问题的通知》（财库〔2026〕2号），评审中出现下列情形之一的，谈判小组应当启动异常低价响应审查程序：</w:t>
            </w:r>
          </w:p>
          <w:p w14:paraId="09406DF5">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1、响应报价低于全部通过符合性审查供应商响应报价平均值</w:t>
            </w:r>
            <w:r>
              <w:rPr>
                <w:rFonts w:hint="eastAsia" w:ascii="仿宋" w:hAnsi="仿宋" w:eastAsia="仿宋" w:cs="仿宋"/>
                <w:color w:val="auto"/>
                <w:sz w:val="24"/>
                <w:szCs w:val="24"/>
                <w:highlight w:val="none"/>
                <w:u w:val="single"/>
                <w:lang w:val="en-US" w:eastAsia="zh-CN"/>
              </w:rPr>
              <w:t>65</w:t>
            </w:r>
            <w:r>
              <w:rPr>
                <w:rFonts w:hint="eastAsia" w:ascii="仿宋" w:hAnsi="仿宋" w:eastAsia="仿宋" w:cs="仿宋"/>
                <w:color w:val="auto"/>
                <w:sz w:val="24"/>
                <w:szCs w:val="24"/>
                <w:highlight w:val="none"/>
                <w:lang w:val="en-US" w:eastAsia="zh-CN"/>
              </w:rPr>
              <w:t>%的，即响应报价&lt;全部通过符合性审查供应商响应报价平均值×</w:t>
            </w:r>
            <w:r>
              <w:rPr>
                <w:rFonts w:hint="eastAsia" w:ascii="仿宋" w:hAnsi="仿宋" w:eastAsia="仿宋" w:cs="仿宋"/>
                <w:color w:val="auto"/>
                <w:sz w:val="24"/>
                <w:szCs w:val="24"/>
                <w:highlight w:val="none"/>
                <w:u w:val="single"/>
                <w:lang w:val="en-US" w:eastAsia="zh-CN"/>
              </w:rPr>
              <w:t>65</w:t>
            </w:r>
            <w:r>
              <w:rPr>
                <w:rFonts w:hint="eastAsia" w:ascii="仿宋" w:hAnsi="仿宋" w:eastAsia="仿宋" w:cs="仿宋"/>
                <w:color w:val="auto"/>
                <w:sz w:val="24"/>
                <w:szCs w:val="24"/>
                <w:highlight w:val="none"/>
                <w:lang w:val="en-US" w:eastAsia="zh-CN"/>
              </w:rPr>
              <w:t>%；（比例范围：50%-65%）</w:t>
            </w:r>
          </w:p>
          <w:p w14:paraId="2E85F37E">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2.响应报价低于通过符合性审查的次低报价供应商响应报价</w:t>
            </w:r>
            <w:r>
              <w:rPr>
                <w:rFonts w:hint="eastAsia" w:ascii="仿宋" w:hAnsi="仿宋" w:eastAsia="仿宋" w:cs="仿宋"/>
                <w:color w:val="auto"/>
                <w:sz w:val="24"/>
                <w:szCs w:val="24"/>
                <w:highlight w:val="none"/>
                <w:u w:val="single"/>
                <w:lang w:val="en-US" w:eastAsia="zh-CN"/>
              </w:rPr>
              <w:t>65</w:t>
            </w:r>
            <w:r>
              <w:rPr>
                <w:rFonts w:hint="eastAsia" w:ascii="仿宋" w:hAnsi="仿宋" w:eastAsia="仿宋" w:cs="仿宋"/>
                <w:color w:val="auto"/>
                <w:sz w:val="24"/>
                <w:szCs w:val="24"/>
                <w:highlight w:val="none"/>
                <w:lang w:val="en-US" w:eastAsia="zh-CN"/>
              </w:rPr>
              <w:t>%的，即响应报价&lt;通过符合性审查的次低报价供应商响应报价×</w:t>
            </w:r>
            <w:r>
              <w:rPr>
                <w:rFonts w:hint="eastAsia" w:ascii="仿宋" w:hAnsi="仿宋" w:eastAsia="仿宋" w:cs="仿宋"/>
                <w:color w:val="auto"/>
                <w:sz w:val="24"/>
                <w:szCs w:val="24"/>
                <w:highlight w:val="none"/>
                <w:u w:val="single"/>
                <w:lang w:val="en-US" w:eastAsia="zh-CN"/>
              </w:rPr>
              <w:t>65</w:t>
            </w:r>
            <w:r>
              <w:rPr>
                <w:rFonts w:hint="eastAsia" w:ascii="仿宋" w:hAnsi="仿宋" w:eastAsia="仿宋" w:cs="仿宋"/>
                <w:color w:val="auto"/>
                <w:sz w:val="24"/>
                <w:szCs w:val="24"/>
                <w:highlight w:val="none"/>
                <w:lang w:val="en-US" w:eastAsia="zh-CN"/>
              </w:rPr>
              <w:t>%；（比例范围：50%-65%）</w:t>
            </w:r>
          </w:p>
          <w:p w14:paraId="28FA097B">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3.响应报价低于采购项目最高限价</w:t>
            </w:r>
            <w:r>
              <w:rPr>
                <w:rFonts w:hint="eastAsia" w:ascii="仿宋" w:hAnsi="仿宋" w:eastAsia="仿宋" w:cs="仿宋"/>
                <w:color w:val="auto"/>
                <w:sz w:val="24"/>
                <w:szCs w:val="24"/>
                <w:highlight w:val="none"/>
                <w:u w:val="single"/>
                <w:lang w:val="en-US" w:eastAsia="zh-CN"/>
              </w:rPr>
              <w:t>65</w:t>
            </w:r>
            <w:r>
              <w:rPr>
                <w:rFonts w:hint="eastAsia" w:ascii="仿宋" w:hAnsi="仿宋" w:eastAsia="仿宋" w:cs="仿宋"/>
                <w:color w:val="auto"/>
                <w:sz w:val="24"/>
                <w:szCs w:val="24"/>
                <w:highlight w:val="none"/>
                <w:lang w:val="en-US" w:eastAsia="zh-CN"/>
              </w:rPr>
              <w:t>%的，即响应报价&lt;采购项目最高限价×</w:t>
            </w:r>
            <w:r>
              <w:rPr>
                <w:rFonts w:hint="eastAsia" w:ascii="仿宋" w:hAnsi="仿宋" w:eastAsia="仿宋" w:cs="仿宋"/>
                <w:color w:val="auto"/>
                <w:sz w:val="24"/>
                <w:szCs w:val="24"/>
                <w:highlight w:val="none"/>
                <w:u w:val="single"/>
                <w:lang w:val="en-US" w:eastAsia="zh-CN"/>
              </w:rPr>
              <w:t>65</w:t>
            </w:r>
            <w:r>
              <w:rPr>
                <w:rFonts w:hint="eastAsia" w:ascii="仿宋" w:hAnsi="仿宋" w:eastAsia="仿宋" w:cs="仿宋"/>
                <w:color w:val="auto"/>
                <w:sz w:val="24"/>
                <w:szCs w:val="24"/>
                <w:highlight w:val="none"/>
                <w:lang w:val="en-US" w:eastAsia="zh-CN"/>
              </w:rPr>
              <w:t>%；（比例范围：45%-65%）</w:t>
            </w:r>
          </w:p>
          <w:p w14:paraId="78EAA90E">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4.谈判小组基于专业判断，认为供应商报价过低，有可能影响产品质量或者不能诚信履约的其他情形。</w:t>
            </w:r>
          </w:p>
          <w:p w14:paraId="13B33609">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3B4B60BC">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（2）上述报价均为供应商最后报价。</w:t>
            </w:r>
          </w:p>
          <w:p w14:paraId="78FF9519">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注：以上比例由采购人根据项目特点及要求自行填写。</w:t>
            </w:r>
          </w:p>
        </w:tc>
      </w:tr>
      <w:tr w14:paraId="67A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58" w:hRule="atLeast"/>
          <w:jc w:val="center"/>
        </w:trPr>
        <w:tc>
          <w:tcPr>
            <w:tcW w:w="347" w:type="pct"/>
            <w:vAlign w:val="center"/>
          </w:tcPr>
          <w:p w14:paraId="141D0EEB">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10</w:t>
            </w:r>
            <w:r>
              <w:rPr>
                <w:rFonts w:hint="eastAsia" w:ascii="仿宋" w:hAnsi="仿宋" w:eastAsia="仿宋" w:cs="仿宋"/>
                <w:bCs/>
                <w:color w:val="auto"/>
                <w:kern w:val="2"/>
                <w:highlight w:val="none"/>
              </w:rPr>
              <w:t>.1</w:t>
            </w:r>
          </w:p>
        </w:tc>
        <w:tc>
          <w:tcPr>
            <w:tcW w:w="747" w:type="pct"/>
            <w:vAlign w:val="center"/>
          </w:tcPr>
          <w:p w14:paraId="24530D1C">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谈判保证金</w:t>
            </w:r>
          </w:p>
        </w:tc>
        <w:tc>
          <w:tcPr>
            <w:tcW w:w="3904" w:type="pct"/>
            <w:vAlign w:val="center"/>
          </w:tcPr>
          <w:p w14:paraId="54D9237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不收取</w:t>
            </w:r>
          </w:p>
        </w:tc>
      </w:tr>
      <w:tr w14:paraId="19E2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143164E3">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11</w:t>
            </w:r>
            <w:r>
              <w:rPr>
                <w:rFonts w:hint="eastAsia" w:ascii="仿宋" w:hAnsi="仿宋" w:eastAsia="仿宋" w:cs="仿宋"/>
                <w:bCs/>
                <w:color w:val="auto"/>
                <w:kern w:val="2"/>
                <w:highlight w:val="none"/>
              </w:rPr>
              <w:t>.1</w:t>
            </w:r>
          </w:p>
        </w:tc>
        <w:tc>
          <w:tcPr>
            <w:tcW w:w="747" w:type="pct"/>
            <w:vAlign w:val="center"/>
          </w:tcPr>
          <w:p w14:paraId="7FD6A04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谈判有效期</w:t>
            </w:r>
          </w:p>
        </w:tc>
        <w:tc>
          <w:tcPr>
            <w:tcW w:w="3904" w:type="pct"/>
            <w:vAlign w:val="center"/>
          </w:tcPr>
          <w:p w14:paraId="6803A9F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val="en-US" w:eastAsia="zh-CN"/>
              </w:rPr>
              <w:t>90个</w:t>
            </w:r>
            <w:r>
              <w:rPr>
                <w:rFonts w:hint="eastAsia" w:ascii="仿宋" w:hAnsi="仿宋" w:eastAsia="仿宋" w:cs="仿宋"/>
                <w:b w:val="0"/>
                <w:color w:val="auto"/>
                <w:sz w:val="24"/>
                <w:highlight w:val="none"/>
              </w:rPr>
              <w:t>日历日</w:t>
            </w:r>
          </w:p>
        </w:tc>
      </w:tr>
      <w:tr w14:paraId="123C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3EFED59A">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w:t>
            </w:r>
          </w:p>
        </w:tc>
        <w:tc>
          <w:tcPr>
            <w:tcW w:w="747" w:type="pct"/>
            <w:vAlign w:val="center"/>
          </w:tcPr>
          <w:p w14:paraId="40D5868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响应文件</w:t>
            </w:r>
            <w:r>
              <w:rPr>
                <w:rFonts w:hint="eastAsia" w:ascii="仿宋" w:hAnsi="仿宋" w:eastAsia="仿宋" w:cs="仿宋"/>
                <w:b w:val="0"/>
                <w:color w:val="auto"/>
                <w:sz w:val="24"/>
                <w:highlight w:val="none"/>
                <w:lang w:val="en-US" w:eastAsia="zh-CN"/>
              </w:rPr>
              <w:t>递交</w:t>
            </w:r>
          </w:p>
        </w:tc>
        <w:tc>
          <w:tcPr>
            <w:tcW w:w="3904" w:type="pct"/>
            <w:vAlign w:val="center"/>
          </w:tcPr>
          <w:p w14:paraId="225C7C5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default" w:ascii="仿宋" w:hAnsi="仿宋" w:eastAsia="仿宋" w:cs="仿宋"/>
                <w:b w:val="0"/>
                <w:color w:val="auto"/>
                <w:sz w:val="24"/>
                <w:szCs w:val="24"/>
                <w:highlight w:val="none"/>
                <w:u w:val="none"/>
                <w:lang w:val="en-US" w:eastAsia="zh-CN"/>
              </w:rPr>
            </w:pPr>
            <w:r>
              <w:rPr>
                <w:rFonts w:hint="eastAsia" w:ascii="仿宋" w:hAnsi="仿宋" w:eastAsia="仿宋" w:cs="仿宋"/>
                <w:b w:val="0"/>
                <w:color w:val="auto"/>
                <w:sz w:val="24"/>
                <w:szCs w:val="24"/>
                <w:highlight w:val="none"/>
                <w:u w:val="none"/>
              </w:rPr>
              <w:t>正本：1份；副本：</w:t>
            </w:r>
            <w:r>
              <w:rPr>
                <w:rFonts w:hint="eastAsia" w:ascii="仿宋" w:hAnsi="仿宋" w:eastAsia="仿宋" w:cs="仿宋"/>
                <w:b w:val="0"/>
                <w:color w:val="auto"/>
                <w:sz w:val="24"/>
                <w:szCs w:val="24"/>
                <w:highlight w:val="none"/>
                <w:u w:val="none"/>
                <w:lang w:val="en-US"/>
              </w:rPr>
              <w:t>2</w:t>
            </w:r>
            <w:r>
              <w:rPr>
                <w:rFonts w:hint="eastAsia" w:ascii="仿宋" w:hAnsi="仿宋" w:eastAsia="仿宋" w:cs="仿宋"/>
                <w:b w:val="0"/>
                <w:color w:val="auto"/>
                <w:sz w:val="24"/>
                <w:szCs w:val="24"/>
                <w:highlight w:val="none"/>
                <w:u w:val="none"/>
              </w:rPr>
              <w:t>份</w:t>
            </w:r>
            <w:r>
              <w:rPr>
                <w:rFonts w:hint="eastAsia" w:ascii="仿宋" w:hAnsi="仿宋" w:eastAsia="仿宋" w:cs="仿宋"/>
                <w:b w:val="0"/>
                <w:color w:val="auto"/>
                <w:sz w:val="24"/>
                <w:szCs w:val="24"/>
                <w:highlight w:val="none"/>
                <w:u w:val="none"/>
                <w:lang w:eastAsia="zh-CN"/>
              </w:rPr>
              <w:t>。</w:t>
            </w:r>
          </w:p>
          <w:p w14:paraId="2792B6B8">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szCs w:val="24"/>
                <w:highlight w:val="none"/>
                <w:u w:val="none"/>
                <w:lang w:val="en-US"/>
              </w:rPr>
            </w:pPr>
            <w:r>
              <w:rPr>
                <w:rFonts w:hint="eastAsia" w:ascii="仿宋" w:hAnsi="仿宋" w:eastAsia="仿宋" w:cs="仿宋"/>
                <w:b w:val="0"/>
                <w:color w:val="auto"/>
                <w:sz w:val="24"/>
                <w:szCs w:val="24"/>
                <w:highlight w:val="none"/>
                <w:u w:val="none"/>
                <w:lang w:val="en-US"/>
              </w:rPr>
              <w:t>要求：</w:t>
            </w:r>
          </w:p>
          <w:p w14:paraId="5D54318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szCs w:val="24"/>
                <w:highlight w:val="none"/>
                <w:u w:val="none"/>
                <w:lang w:eastAsia="zh-CN"/>
              </w:rPr>
            </w:pPr>
            <w:r>
              <w:rPr>
                <w:rFonts w:hint="eastAsia" w:ascii="仿宋" w:hAnsi="仿宋" w:eastAsia="仿宋" w:cs="仿宋"/>
                <w:b w:val="0"/>
                <w:color w:val="auto"/>
                <w:sz w:val="24"/>
                <w:szCs w:val="24"/>
                <w:highlight w:val="none"/>
                <w:u w:val="none"/>
                <w:lang w:val="en-US" w:eastAsia="zh-CN"/>
              </w:rPr>
              <w:t>1、</w:t>
            </w:r>
            <w:r>
              <w:rPr>
                <w:rFonts w:hint="eastAsia" w:ascii="仿宋" w:hAnsi="仿宋" w:eastAsia="仿宋" w:cs="仿宋"/>
                <w:b w:val="0"/>
                <w:color w:val="auto"/>
                <w:sz w:val="24"/>
                <w:szCs w:val="24"/>
                <w:highlight w:val="none"/>
                <w:u w:val="none"/>
              </w:rPr>
              <w:t>响应文件正本</w:t>
            </w:r>
            <w:r>
              <w:rPr>
                <w:rFonts w:hint="eastAsia" w:ascii="仿宋" w:hAnsi="仿宋" w:eastAsia="仿宋" w:cs="仿宋"/>
                <w:b w:val="0"/>
                <w:color w:val="auto"/>
                <w:sz w:val="24"/>
                <w:szCs w:val="24"/>
                <w:highlight w:val="none"/>
                <w:u w:val="none"/>
                <w:lang w:eastAsia="zh-CN"/>
              </w:rPr>
              <w:t>、</w:t>
            </w:r>
            <w:r>
              <w:rPr>
                <w:rFonts w:hint="eastAsia" w:ascii="仿宋" w:hAnsi="仿宋" w:eastAsia="仿宋" w:cs="仿宋"/>
                <w:b w:val="0"/>
                <w:color w:val="auto"/>
                <w:sz w:val="24"/>
                <w:szCs w:val="24"/>
                <w:highlight w:val="none"/>
                <w:u w:val="none"/>
              </w:rPr>
              <w:t>副本需要分别装订</w:t>
            </w:r>
            <w:r>
              <w:rPr>
                <w:rFonts w:hint="eastAsia" w:ascii="仿宋" w:hAnsi="仿宋" w:eastAsia="仿宋" w:cs="仿宋"/>
                <w:b w:val="0"/>
                <w:color w:val="auto"/>
                <w:sz w:val="24"/>
                <w:szCs w:val="24"/>
                <w:highlight w:val="none"/>
                <w:u w:val="none"/>
                <w:lang w:eastAsia="zh-CN"/>
              </w:rPr>
              <w:t>，</w:t>
            </w:r>
          </w:p>
          <w:p w14:paraId="566A48F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szCs w:val="24"/>
                <w:highlight w:val="none"/>
                <w:u w:val="none"/>
              </w:rPr>
            </w:pPr>
            <w:r>
              <w:rPr>
                <w:rFonts w:hint="eastAsia" w:ascii="仿宋" w:hAnsi="仿宋" w:eastAsia="仿宋" w:cs="仿宋"/>
                <w:b w:val="0"/>
                <w:color w:val="auto"/>
                <w:sz w:val="24"/>
                <w:szCs w:val="24"/>
                <w:highlight w:val="none"/>
                <w:u w:val="none"/>
                <w:lang w:val="en-US" w:eastAsia="zh-CN"/>
              </w:rPr>
              <w:t>2、</w:t>
            </w:r>
            <w:r>
              <w:rPr>
                <w:rFonts w:hint="eastAsia" w:ascii="仿宋" w:hAnsi="仿宋" w:eastAsia="仿宋" w:cs="仿宋"/>
                <w:b w:val="0"/>
                <w:color w:val="auto"/>
                <w:sz w:val="24"/>
                <w:szCs w:val="24"/>
                <w:highlight w:val="none"/>
                <w:u w:val="none"/>
              </w:rPr>
              <w:t>响应文件正本与副本可以包装在一起密封提交，也可以分开包装密封提交。</w:t>
            </w:r>
          </w:p>
          <w:p w14:paraId="4F56CAF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szCs w:val="24"/>
                <w:highlight w:val="none"/>
                <w:u w:val="none"/>
                <w:lang w:val="en-US" w:eastAsia="zh-CN"/>
              </w:rPr>
              <w:t>3、</w:t>
            </w:r>
            <w:r>
              <w:rPr>
                <w:rFonts w:hint="eastAsia" w:ascii="仿宋" w:hAnsi="仿宋" w:eastAsia="仿宋" w:cs="仿宋"/>
                <w:b w:val="0"/>
                <w:color w:val="auto"/>
                <w:sz w:val="24"/>
                <w:szCs w:val="24"/>
                <w:highlight w:val="none"/>
                <w:u w:val="none"/>
              </w:rPr>
              <w:t>如果响应文件没有按规定装订、分装、标记和密封，采购人和代理机构不承担提前开封的责任。</w:t>
            </w:r>
          </w:p>
        </w:tc>
      </w:tr>
      <w:tr w14:paraId="0DF5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shd w:val="clear" w:color="auto" w:fill="auto"/>
            <w:vAlign w:val="center"/>
          </w:tcPr>
          <w:p w14:paraId="748A3E52">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13.1</w:t>
            </w:r>
          </w:p>
        </w:tc>
        <w:tc>
          <w:tcPr>
            <w:tcW w:w="747" w:type="pct"/>
            <w:shd w:val="clear" w:color="auto" w:fill="auto"/>
            <w:vAlign w:val="center"/>
          </w:tcPr>
          <w:p w14:paraId="3ED35FA5">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lang w:val="en-US" w:eastAsia="zh-CN"/>
              </w:rPr>
              <w:t>谈判小组</w:t>
            </w:r>
          </w:p>
        </w:tc>
        <w:tc>
          <w:tcPr>
            <w:tcW w:w="3904" w:type="pct"/>
            <w:shd w:val="clear" w:color="auto" w:fill="auto"/>
            <w:vAlign w:val="center"/>
          </w:tcPr>
          <w:p w14:paraId="751D0697">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本项目谈判小组人数：</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none"/>
                <w:lang w:val="en-US" w:eastAsia="zh-CN"/>
              </w:rPr>
              <w:t>人。</w:t>
            </w:r>
          </w:p>
        </w:tc>
      </w:tr>
      <w:tr w14:paraId="24EC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7CF2BE8B">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14</w:t>
            </w:r>
            <w:r>
              <w:rPr>
                <w:rFonts w:hint="eastAsia" w:ascii="仿宋" w:hAnsi="仿宋" w:eastAsia="仿宋" w:cs="仿宋"/>
                <w:bCs/>
                <w:color w:val="auto"/>
                <w:kern w:val="2"/>
                <w:highlight w:val="none"/>
              </w:rPr>
              <w:t>.3</w:t>
            </w:r>
          </w:p>
        </w:tc>
        <w:tc>
          <w:tcPr>
            <w:tcW w:w="747" w:type="pct"/>
            <w:vAlign w:val="center"/>
          </w:tcPr>
          <w:p w14:paraId="2AABC534">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评审方法</w:t>
            </w:r>
          </w:p>
        </w:tc>
        <w:tc>
          <w:tcPr>
            <w:tcW w:w="3904" w:type="pct"/>
            <w:vAlign w:val="center"/>
          </w:tcPr>
          <w:p w14:paraId="7D880FA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u w:val="none"/>
              </w:rPr>
              <w:t>最低评标价法</w:t>
            </w:r>
          </w:p>
        </w:tc>
      </w:tr>
      <w:tr w14:paraId="3916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shd w:val="clear" w:color="auto" w:fill="auto"/>
            <w:vAlign w:val="center"/>
          </w:tcPr>
          <w:p w14:paraId="0472FACB">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17</w:t>
            </w:r>
            <w:r>
              <w:rPr>
                <w:rFonts w:hint="eastAsia" w:ascii="仿宋" w:hAnsi="仿宋" w:eastAsia="仿宋" w:cs="仿宋"/>
                <w:bCs/>
                <w:color w:val="auto"/>
                <w:kern w:val="2"/>
                <w:highlight w:val="none"/>
              </w:rPr>
              <w:t>.</w:t>
            </w:r>
            <w:r>
              <w:rPr>
                <w:rFonts w:hint="eastAsia" w:ascii="仿宋" w:hAnsi="仿宋" w:eastAsia="仿宋" w:cs="仿宋"/>
                <w:bCs/>
                <w:color w:val="auto"/>
                <w:kern w:val="2"/>
                <w:highlight w:val="none"/>
                <w:lang w:val="en-US" w:eastAsia="zh-CN"/>
              </w:rPr>
              <w:t>4</w:t>
            </w:r>
          </w:p>
        </w:tc>
        <w:tc>
          <w:tcPr>
            <w:tcW w:w="747" w:type="pct"/>
            <w:shd w:val="clear" w:color="auto" w:fill="auto"/>
            <w:vAlign w:val="center"/>
          </w:tcPr>
          <w:p w14:paraId="7267B22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i/>
                <w:color w:val="auto"/>
                <w:kern w:val="0"/>
                <w:sz w:val="24"/>
                <w:szCs w:val="28"/>
                <w:highlight w:val="none"/>
                <w:lang w:val="en-US" w:eastAsia="zh-CN" w:bidi="ar-SA"/>
              </w:rPr>
            </w:pPr>
            <w:r>
              <w:rPr>
                <w:rFonts w:hint="eastAsia" w:ascii="仿宋" w:hAnsi="仿宋" w:eastAsia="仿宋" w:cs="仿宋"/>
                <w:b w:val="0"/>
                <w:color w:val="auto"/>
                <w:sz w:val="24"/>
                <w:highlight w:val="none"/>
                <w:lang w:val="en-US" w:eastAsia="zh-CN"/>
              </w:rPr>
              <w:t>中小企业价格</w:t>
            </w:r>
            <w:r>
              <w:rPr>
                <w:rFonts w:hint="eastAsia" w:ascii="仿宋" w:hAnsi="仿宋" w:eastAsia="仿宋" w:cs="仿宋"/>
                <w:b w:val="0"/>
                <w:color w:val="auto"/>
                <w:sz w:val="24"/>
                <w:highlight w:val="none"/>
              </w:rPr>
              <w:t>扣除</w:t>
            </w:r>
          </w:p>
        </w:tc>
        <w:tc>
          <w:tcPr>
            <w:tcW w:w="3904" w:type="pct"/>
            <w:shd w:val="clear" w:color="auto" w:fill="auto"/>
            <w:vAlign w:val="center"/>
          </w:tcPr>
          <w:p w14:paraId="6625A931">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专门面向中小企业采购的采购项目不享受价格扣除优惠。</w:t>
            </w:r>
          </w:p>
          <w:p w14:paraId="1000BD2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（1）小型和微型企业价格扣除：</w:t>
            </w:r>
            <w:r>
              <w:rPr>
                <w:rFonts w:hint="eastAsia" w:ascii="仿宋" w:hAnsi="仿宋" w:eastAsia="仿宋" w:cs="仿宋"/>
                <w:b w:val="0"/>
                <w:color w:val="auto"/>
                <w:sz w:val="24"/>
                <w:highlight w:val="none"/>
                <w:u w:val="single"/>
                <w:lang w:val="en-US" w:eastAsia="zh-CN"/>
              </w:rPr>
              <w:t xml:space="preserve"> / </w:t>
            </w:r>
            <w:r>
              <w:rPr>
                <w:rFonts w:hint="eastAsia" w:ascii="仿宋" w:hAnsi="仿宋" w:eastAsia="仿宋" w:cs="仿宋"/>
                <w:b w:val="0"/>
                <w:color w:val="auto"/>
                <w:sz w:val="24"/>
                <w:highlight w:val="none"/>
                <w:u w:val="none"/>
                <w:lang w:val="en-US" w:eastAsia="zh-CN"/>
              </w:rPr>
              <w:t>%</w:t>
            </w:r>
            <w:r>
              <w:rPr>
                <w:rFonts w:hint="eastAsia" w:ascii="仿宋" w:hAnsi="仿宋" w:eastAsia="仿宋" w:cs="仿宋"/>
                <w:b w:val="0"/>
                <w:color w:val="auto"/>
                <w:sz w:val="24"/>
                <w:highlight w:val="none"/>
                <w:u w:val="none"/>
                <w:lang w:eastAsia="zh-CN"/>
              </w:rPr>
              <w:t>（10%-20%）</w:t>
            </w:r>
            <w:r>
              <w:rPr>
                <w:rFonts w:hint="eastAsia" w:ascii="仿宋" w:hAnsi="仿宋" w:eastAsia="仿宋" w:cs="仿宋"/>
                <w:b w:val="0"/>
                <w:color w:val="auto"/>
                <w:sz w:val="24"/>
                <w:highlight w:val="none"/>
              </w:rPr>
              <w:t>。</w:t>
            </w:r>
          </w:p>
          <w:p w14:paraId="0F463DC7">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（2）监狱企业价格扣除：</w:t>
            </w:r>
            <w:r>
              <w:rPr>
                <w:rFonts w:hint="eastAsia" w:ascii="仿宋" w:hAnsi="仿宋" w:eastAsia="仿宋" w:cs="仿宋"/>
                <w:b w:val="0"/>
                <w:color w:val="auto"/>
                <w:sz w:val="24"/>
                <w:highlight w:val="none"/>
                <w:u w:val="none"/>
              </w:rPr>
              <w:t>同小型和微型企业</w:t>
            </w:r>
            <w:r>
              <w:rPr>
                <w:rFonts w:hint="eastAsia" w:ascii="仿宋" w:hAnsi="仿宋" w:eastAsia="仿宋" w:cs="仿宋"/>
                <w:b w:val="0"/>
                <w:color w:val="auto"/>
                <w:sz w:val="24"/>
                <w:highlight w:val="none"/>
              </w:rPr>
              <w:t>。</w:t>
            </w:r>
          </w:p>
          <w:p w14:paraId="35C1593F">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（3）残疾人福利性单位价格扣除：</w:t>
            </w:r>
            <w:r>
              <w:rPr>
                <w:rFonts w:hint="eastAsia" w:ascii="仿宋" w:hAnsi="仿宋" w:eastAsia="仿宋" w:cs="仿宋"/>
                <w:b w:val="0"/>
                <w:color w:val="auto"/>
                <w:sz w:val="24"/>
                <w:highlight w:val="none"/>
                <w:u w:val="none"/>
              </w:rPr>
              <w:t>同小型和微型企业</w:t>
            </w:r>
            <w:r>
              <w:rPr>
                <w:rFonts w:hint="eastAsia" w:ascii="仿宋" w:hAnsi="仿宋" w:eastAsia="仿宋" w:cs="仿宋"/>
                <w:b w:val="0"/>
                <w:color w:val="auto"/>
                <w:sz w:val="24"/>
                <w:highlight w:val="none"/>
              </w:rPr>
              <w:t>。</w:t>
            </w:r>
          </w:p>
          <w:p w14:paraId="2B49C5F8">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（4）符合条件的联合体价格扣除：</w:t>
            </w:r>
            <w:r>
              <w:rPr>
                <w:rFonts w:hint="eastAsia" w:ascii="仿宋" w:hAnsi="仿宋" w:eastAsia="仿宋" w:cs="仿宋"/>
                <w:b w:val="0"/>
                <w:color w:val="auto"/>
                <w:sz w:val="24"/>
                <w:highlight w:val="none"/>
                <w:u w:val="single"/>
                <w:lang w:val="en-US" w:eastAsia="zh-CN"/>
              </w:rPr>
              <w:t xml:space="preserve"> / </w:t>
            </w:r>
            <w:r>
              <w:rPr>
                <w:rFonts w:hint="eastAsia" w:ascii="仿宋" w:hAnsi="仿宋" w:eastAsia="仿宋" w:cs="仿宋"/>
                <w:b w:val="0"/>
                <w:color w:val="auto"/>
                <w:sz w:val="24"/>
                <w:highlight w:val="none"/>
                <w:u w:val="none"/>
                <w:lang w:val="en-US" w:eastAsia="zh-CN"/>
              </w:rPr>
              <w:t>%</w:t>
            </w:r>
            <w:r>
              <w:rPr>
                <w:rFonts w:hint="eastAsia" w:ascii="仿宋" w:hAnsi="仿宋" w:eastAsia="仿宋" w:cs="仿宋"/>
                <w:b w:val="0"/>
                <w:color w:val="auto"/>
                <w:sz w:val="24"/>
                <w:highlight w:val="none"/>
                <w:u w:val="none"/>
                <w:lang w:eastAsia="zh-CN"/>
              </w:rPr>
              <w:t>（</w:t>
            </w:r>
            <w:r>
              <w:rPr>
                <w:rFonts w:hint="eastAsia" w:ascii="仿宋" w:hAnsi="仿宋" w:eastAsia="仿宋" w:cs="仿宋"/>
                <w:b w:val="0"/>
                <w:color w:val="auto"/>
                <w:sz w:val="24"/>
                <w:highlight w:val="none"/>
                <w:u w:val="none"/>
              </w:rPr>
              <w:t>4%-6%</w:t>
            </w:r>
            <w:r>
              <w:rPr>
                <w:rFonts w:hint="eastAsia" w:ascii="仿宋" w:hAnsi="仿宋" w:eastAsia="仿宋" w:cs="仿宋"/>
                <w:b w:val="0"/>
                <w:color w:val="auto"/>
                <w:sz w:val="24"/>
                <w:highlight w:val="none"/>
                <w:u w:val="none"/>
                <w:lang w:eastAsia="zh-CN"/>
              </w:rPr>
              <w:t>）</w:t>
            </w:r>
            <w:r>
              <w:rPr>
                <w:rFonts w:hint="eastAsia" w:ascii="仿宋" w:hAnsi="仿宋" w:eastAsia="仿宋" w:cs="仿宋"/>
                <w:b w:val="0"/>
                <w:color w:val="auto"/>
                <w:sz w:val="24"/>
                <w:highlight w:val="none"/>
                <w:u w:val="none"/>
              </w:rPr>
              <w:t>。</w:t>
            </w:r>
            <w:r>
              <w:rPr>
                <w:rFonts w:hint="eastAsia" w:ascii="仿宋" w:hAnsi="仿宋" w:eastAsia="仿宋" w:cs="仿宋"/>
                <w:b w:val="0"/>
                <w:i/>
                <w:color w:val="auto"/>
                <w:sz w:val="24"/>
                <w:highlight w:val="none"/>
              </w:rPr>
              <w:t>（接受大中型企业与小微企业组成联合体的项目适用）</w:t>
            </w:r>
            <w:r>
              <w:rPr>
                <w:rFonts w:hint="eastAsia" w:ascii="仿宋" w:hAnsi="仿宋" w:eastAsia="仿宋" w:cs="仿宋"/>
                <w:b w:val="0"/>
                <w:color w:val="auto"/>
                <w:sz w:val="24"/>
                <w:highlight w:val="none"/>
              </w:rPr>
              <w:t>。</w:t>
            </w:r>
          </w:p>
          <w:p w14:paraId="3F47747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rPr>
              <w:t>（5）符合条件的向小微企业分包的大中型企业价格扣除：</w:t>
            </w:r>
            <w:r>
              <w:rPr>
                <w:rFonts w:hint="eastAsia" w:ascii="仿宋" w:hAnsi="仿宋" w:eastAsia="仿宋" w:cs="仿宋"/>
                <w:b w:val="0"/>
                <w:color w:val="auto"/>
                <w:sz w:val="24"/>
                <w:highlight w:val="none"/>
                <w:u w:val="single"/>
                <w:lang w:val="en-US" w:eastAsia="zh-CN"/>
              </w:rPr>
              <w:t xml:space="preserve"> / </w:t>
            </w:r>
            <w:r>
              <w:rPr>
                <w:rFonts w:hint="eastAsia" w:ascii="仿宋" w:hAnsi="仿宋" w:eastAsia="仿宋" w:cs="仿宋"/>
                <w:b w:val="0"/>
                <w:color w:val="auto"/>
                <w:sz w:val="24"/>
                <w:highlight w:val="none"/>
              </w:rPr>
              <w:t>%</w:t>
            </w:r>
            <w:r>
              <w:rPr>
                <w:rFonts w:hint="eastAsia" w:ascii="仿宋" w:hAnsi="仿宋" w:eastAsia="仿宋" w:cs="仿宋"/>
                <w:b w:val="0"/>
                <w:color w:val="auto"/>
                <w:sz w:val="24"/>
                <w:highlight w:val="none"/>
                <w:u w:val="none"/>
                <w:lang w:eastAsia="zh-CN"/>
              </w:rPr>
              <w:t>（</w:t>
            </w:r>
            <w:r>
              <w:rPr>
                <w:rFonts w:hint="eastAsia" w:ascii="仿宋" w:hAnsi="仿宋" w:eastAsia="仿宋" w:cs="仿宋"/>
                <w:b w:val="0"/>
                <w:color w:val="auto"/>
                <w:sz w:val="24"/>
                <w:highlight w:val="none"/>
                <w:u w:val="none"/>
              </w:rPr>
              <w:t>4%-6%</w:t>
            </w:r>
            <w:r>
              <w:rPr>
                <w:rFonts w:hint="eastAsia" w:ascii="仿宋" w:hAnsi="仿宋" w:eastAsia="仿宋" w:cs="仿宋"/>
                <w:b w:val="0"/>
                <w:color w:val="auto"/>
                <w:sz w:val="24"/>
                <w:highlight w:val="none"/>
                <w:u w:val="none"/>
                <w:lang w:eastAsia="zh-CN"/>
              </w:rPr>
              <w:t>）</w:t>
            </w:r>
            <w:r>
              <w:rPr>
                <w:rFonts w:hint="eastAsia" w:ascii="仿宋" w:hAnsi="仿宋" w:eastAsia="仿宋" w:cs="仿宋"/>
                <w:b w:val="0"/>
                <w:color w:val="auto"/>
                <w:sz w:val="24"/>
                <w:highlight w:val="none"/>
              </w:rPr>
              <w:t>。</w:t>
            </w:r>
            <w:r>
              <w:rPr>
                <w:rFonts w:hint="eastAsia" w:ascii="仿宋" w:hAnsi="仿宋" w:eastAsia="仿宋" w:cs="仿宋"/>
                <w:b w:val="0"/>
                <w:i/>
                <w:color w:val="auto"/>
                <w:sz w:val="24"/>
                <w:highlight w:val="none"/>
              </w:rPr>
              <w:t>（允许大中型企业向小微企业分包的项目适用）</w:t>
            </w:r>
          </w:p>
        </w:tc>
      </w:tr>
      <w:tr w14:paraId="20F4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shd w:val="clear" w:color="auto" w:fill="auto"/>
            <w:vAlign w:val="center"/>
          </w:tcPr>
          <w:p w14:paraId="4815A5CC">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17.5</w:t>
            </w:r>
          </w:p>
        </w:tc>
        <w:tc>
          <w:tcPr>
            <w:tcW w:w="747" w:type="pct"/>
            <w:shd w:val="clear" w:color="auto" w:fill="auto"/>
            <w:vAlign w:val="center"/>
          </w:tcPr>
          <w:p w14:paraId="3452413C">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lang w:val="en-US" w:eastAsia="zh-CN"/>
              </w:rPr>
              <w:t>本国产品价格扣除</w:t>
            </w:r>
          </w:p>
        </w:tc>
        <w:tc>
          <w:tcPr>
            <w:tcW w:w="3904" w:type="pct"/>
            <w:shd w:val="clear" w:color="auto" w:fill="auto"/>
            <w:vAlign w:val="center"/>
          </w:tcPr>
          <w:p w14:paraId="4D3DF19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i w:val="0"/>
                <w:iCs/>
                <w:color w:val="auto"/>
                <w:sz w:val="24"/>
                <w:highlight w:val="none"/>
                <w:lang w:val="en-US" w:eastAsia="zh-CN"/>
              </w:rPr>
            </w:pPr>
            <w:r>
              <w:rPr>
                <w:rFonts w:hint="eastAsia" w:ascii="仿宋" w:hAnsi="仿宋" w:eastAsia="仿宋" w:cs="仿宋"/>
                <w:b w:val="0"/>
                <w:bCs w:val="0"/>
                <w:color w:val="auto"/>
                <w:sz w:val="24"/>
                <w:szCs w:val="24"/>
                <w:highlight w:val="none"/>
                <w:lang w:val="en-US" w:eastAsia="zh-CN"/>
              </w:rPr>
              <w:t>本项目是否适用：是</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 xml:space="preserve">  否</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注：适用于服务项目中涉及的既有本国产品又有非本国产品参与竞争的货物</w:t>
            </w:r>
            <w:r>
              <w:rPr>
                <w:rFonts w:hint="eastAsia" w:ascii="仿宋" w:hAnsi="仿宋" w:eastAsia="仿宋" w:cs="仿宋"/>
                <w:b w:val="0"/>
                <w:bCs w:val="0"/>
                <w:color w:val="auto"/>
                <w:sz w:val="24"/>
                <w:szCs w:val="24"/>
                <w:highlight w:val="none"/>
                <w:lang w:eastAsia="zh-CN"/>
              </w:rPr>
              <w:t>）</w:t>
            </w:r>
          </w:p>
          <w:p w14:paraId="1FB79454">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i w:val="0"/>
                <w:iCs/>
                <w:color w:val="auto"/>
                <w:sz w:val="24"/>
                <w:highlight w:val="none"/>
                <w:lang w:val="en-US" w:eastAsia="zh-CN"/>
              </w:rPr>
            </w:pPr>
            <w:r>
              <w:rPr>
                <w:rFonts w:hint="eastAsia" w:ascii="仿宋" w:hAnsi="仿宋" w:eastAsia="仿宋" w:cs="仿宋"/>
                <w:b w:val="0"/>
                <w:i w:val="0"/>
                <w:iCs/>
                <w:color w:val="auto"/>
                <w:sz w:val="24"/>
                <w:highlight w:val="none"/>
                <w:lang w:val="en-US" w:eastAsia="zh-CN"/>
              </w:rPr>
              <w:t>（1）项目或者采购包中采购内容为单一产品的，既有本国产品又有非本国产品参与竞争的，对本国产品给予价格扣除20%。</w:t>
            </w:r>
          </w:p>
          <w:p w14:paraId="0F3DEB44">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i w:val="0"/>
                <w:iCs/>
                <w:color w:val="auto"/>
                <w:kern w:val="0"/>
                <w:sz w:val="24"/>
                <w:szCs w:val="28"/>
                <w:highlight w:val="none"/>
                <w:lang w:val="en-US" w:eastAsia="zh-CN" w:bidi="ar-SA"/>
              </w:rPr>
            </w:pPr>
            <w:r>
              <w:rPr>
                <w:rFonts w:hint="eastAsia" w:ascii="仿宋" w:hAnsi="仿宋" w:eastAsia="仿宋" w:cs="仿宋"/>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326E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Merge w:val="restart"/>
            <w:vAlign w:val="center"/>
          </w:tcPr>
          <w:p w14:paraId="6252D1F0">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19</w:t>
            </w:r>
            <w:r>
              <w:rPr>
                <w:rFonts w:hint="eastAsia" w:ascii="仿宋" w:hAnsi="仿宋" w:eastAsia="仿宋" w:cs="仿宋"/>
                <w:bCs/>
                <w:color w:val="auto"/>
                <w:kern w:val="2"/>
                <w:highlight w:val="none"/>
              </w:rPr>
              <w:t>.1</w:t>
            </w:r>
          </w:p>
          <w:p w14:paraId="6C569D00">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highlight w:val="none"/>
              </w:rPr>
            </w:pPr>
          </w:p>
        </w:tc>
        <w:tc>
          <w:tcPr>
            <w:tcW w:w="747" w:type="pct"/>
            <w:vMerge w:val="restart"/>
            <w:vAlign w:val="center"/>
          </w:tcPr>
          <w:p w14:paraId="354F6BA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确定成交候选人和成交供应商</w:t>
            </w:r>
          </w:p>
        </w:tc>
        <w:tc>
          <w:tcPr>
            <w:tcW w:w="3904" w:type="pct"/>
            <w:vAlign w:val="center"/>
          </w:tcPr>
          <w:p w14:paraId="0049A8EC">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lang w:val="en-US" w:eastAsia="zh-CN"/>
              </w:rPr>
            </w:pPr>
            <w:r>
              <w:rPr>
                <w:rFonts w:hint="eastAsia" w:ascii="仿宋" w:hAnsi="仿宋" w:eastAsia="仿宋" w:cs="仿宋"/>
                <w:b w:val="0"/>
                <w:color w:val="auto"/>
                <w:sz w:val="24"/>
                <w:highlight w:val="none"/>
              </w:rPr>
              <w:t>谈判小组推荐成交候选人的数量：3家</w:t>
            </w:r>
          </w:p>
          <w:p w14:paraId="4BEDFD3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lang w:val="en-US" w:eastAsia="zh-CN"/>
              </w:rPr>
              <w:t>注：法律、法规另有规定的，从其规定</w:t>
            </w:r>
          </w:p>
        </w:tc>
      </w:tr>
      <w:tr w14:paraId="3965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Merge w:val="continue"/>
            <w:vAlign w:val="center"/>
          </w:tcPr>
          <w:p w14:paraId="755D6C9F">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highlight w:val="none"/>
              </w:rPr>
            </w:pPr>
          </w:p>
        </w:tc>
        <w:tc>
          <w:tcPr>
            <w:tcW w:w="747" w:type="pct"/>
            <w:vMerge w:val="continue"/>
            <w:vAlign w:val="center"/>
          </w:tcPr>
          <w:p w14:paraId="483C2FD1">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p>
        </w:tc>
        <w:tc>
          <w:tcPr>
            <w:tcW w:w="3904" w:type="pct"/>
            <w:vAlign w:val="center"/>
          </w:tcPr>
          <w:p w14:paraId="3FB74EBF">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确定成交供应商：</w:t>
            </w:r>
          </w:p>
          <w:p w14:paraId="1B35189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eastAsia="zh-CN"/>
              </w:rPr>
              <w:t>☑</w:t>
            </w:r>
            <w:r>
              <w:rPr>
                <w:rFonts w:hint="eastAsia" w:ascii="仿宋" w:hAnsi="仿宋" w:eastAsia="仿宋" w:cs="仿宋"/>
                <w:b w:val="0"/>
                <w:color w:val="auto"/>
                <w:sz w:val="24"/>
                <w:highlight w:val="none"/>
              </w:rPr>
              <w:t>采购人委托谈判小组确定     □采购人确定</w:t>
            </w:r>
          </w:p>
        </w:tc>
      </w:tr>
      <w:tr w14:paraId="1D6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208" w:hRule="atLeast"/>
          <w:jc w:val="center"/>
        </w:trPr>
        <w:tc>
          <w:tcPr>
            <w:tcW w:w="347" w:type="pct"/>
            <w:vAlign w:val="center"/>
          </w:tcPr>
          <w:p w14:paraId="3E1CC551">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22</w:t>
            </w:r>
            <w:r>
              <w:rPr>
                <w:rFonts w:hint="eastAsia" w:ascii="仿宋" w:hAnsi="仿宋" w:eastAsia="仿宋" w:cs="仿宋"/>
                <w:bCs/>
                <w:color w:val="auto"/>
                <w:kern w:val="2"/>
                <w:highlight w:val="none"/>
              </w:rPr>
              <w:t>.2</w:t>
            </w:r>
          </w:p>
        </w:tc>
        <w:tc>
          <w:tcPr>
            <w:tcW w:w="747" w:type="pct"/>
            <w:vAlign w:val="center"/>
          </w:tcPr>
          <w:p w14:paraId="3C976E7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rPr>
              <w:t>随</w:t>
            </w:r>
            <w:r>
              <w:rPr>
                <w:rFonts w:hint="eastAsia" w:ascii="仿宋" w:hAnsi="仿宋" w:eastAsia="仿宋" w:cs="仿宋"/>
                <w:b w:val="0"/>
                <w:color w:val="auto"/>
                <w:sz w:val="24"/>
                <w:highlight w:val="none"/>
                <w:lang w:val="en-US" w:eastAsia="zh-CN"/>
              </w:rPr>
              <w:t>成交</w:t>
            </w:r>
            <w:r>
              <w:rPr>
                <w:rFonts w:hint="eastAsia" w:ascii="仿宋" w:hAnsi="仿宋" w:eastAsia="仿宋" w:cs="仿宋"/>
                <w:b w:val="0"/>
                <w:color w:val="auto"/>
                <w:sz w:val="24"/>
                <w:highlight w:val="none"/>
              </w:rPr>
              <w:t>结果公告同时</w:t>
            </w:r>
            <w:r>
              <w:rPr>
                <w:rFonts w:hint="eastAsia" w:ascii="仿宋" w:hAnsi="仿宋" w:eastAsia="仿宋" w:cs="仿宋"/>
                <w:b w:val="0"/>
                <w:color w:val="auto"/>
                <w:sz w:val="24"/>
                <w:highlight w:val="none"/>
                <w:lang w:val="en-US" w:eastAsia="zh-CN"/>
              </w:rPr>
              <w:t>公告</w:t>
            </w:r>
            <w:r>
              <w:rPr>
                <w:rFonts w:hint="eastAsia" w:ascii="仿宋" w:hAnsi="仿宋" w:eastAsia="仿宋" w:cs="仿宋"/>
                <w:b w:val="0"/>
                <w:color w:val="auto"/>
                <w:sz w:val="24"/>
                <w:highlight w:val="none"/>
              </w:rPr>
              <w:t>的内容</w:t>
            </w:r>
          </w:p>
        </w:tc>
        <w:tc>
          <w:tcPr>
            <w:tcW w:w="3904" w:type="pct"/>
            <w:vAlign w:val="center"/>
          </w:tcPr>
          <w:p w14:paraId="2EDADB3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u w:val="none"/>
              </w:rPr>
            </w:pPr>
            <w:r>
              <w:rPr>
                <w:rFonts w:hint="eastAsia" w:ascii="仿宋" w:hAnsi="仿宋" w:eastAsia="仿宋" w:cs="仿宋"/>
                <w:b w:val="0"/>
                <w:color w:val="auto"/>
                <w:sz w:val="24"/>
                <w:highlight w:val="none"/>
                <w:u w:val="none"/>
              </w:rPr>
              <w:t>（</w:t>
            </w:r>
            <w:r>
              <w:rPr>
                <w:rFonts w:hint="eastAsia" w:ascii="仿宋" w:hAnsi="仿宋" w:eastAsia="仿宋" w:cs="仿宋"/>
                <w:b w:val="0"/>
                <w:color w:val="auto"/>
                <w:sz w:val="24"/>
                <w:highlight w:val="none"/>
                <w:u w:val="none"/>
                <w:lang w:val="en-US" w:eastAsia="zh-CN"/>
              </w:rPr>
              <w:t>1</w:t>
            </w:r>
            <w:r>
              <w:rPr>
                <w:rFonts w:hint="eastAsia" w:ascii="仿宋" w:hAnsi="仿宋" w:eastAsia="仿宋" w:cs="仿宋"/>
                <w:b w:val="0"/>
                <w:color w:val="auto"/>
                <w:sz w:val="24"/>
                <w:highlight w:val="none"/>
                <w:u w:val="none"/>
              </w:rPr>
              <w:t>）中小企业声明函；</w:t>
            </w:r>
            <w:r>
              <w:rPr>
                <w:rFonts w:hint="eastAsia" w:ascii="仿宋" w:hAnsi="仿宋" w:eastAsia="仿宋" w:cs="仿宋"/>
                <w:b w:val="0"/>
                <w:i/>
                <w:iCs/>
                <w:color w:val="auto"/>
                <w:sz w:val="24"/>
                <w:highlight w:val="none"/>
                <w:u w:val="none"/>
              </w:rPr>
              <w:t>（如有）</w:t>
            </w:r>
          </w:p>
          <w:p w14:paraId="33DDED7D">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i/>
                <w:iCs/>
                <w:color w:val="auto"/>
                <w:sz w:val="24"/>
                <w:highlight w:val="none"/>
                <w:u w:val="none"/>
              </w:rPr>
            </w:pPr>
            <w:r>
              <w:rPr>
                <w:rFonts w:hint="eastAsia" w:ascii="仿宋" w:hAnsi="仿宋" w:eastAsia="仿宋" w:cs="仿宋"/>
                <w:b w:val="0"/>
                <w:color w:val="auto"/>
                <w:sz w:val="24"/>
                <w:highlight w:val="none"/>
                <w:u w:val="none"/>
              </w:rPr>
              <w:t>（</w:t>
            </w:r>
            <w:r>
              <w:rPr>
                <w:rFonts w:hint="eastAsia" w:ascii="仿宋" w:hAnsi="仿宋" w:eastAsia="仿宋" w:cs="仿宋"/>
                <w:b w:val="0"/>
                <w:color w:val="auto"/>
                <w:sz w:val="24"/>
                <w:highlight w:val="none"/>
                <w:u w:val="none"/>
                <w:lang w:val="en-US" w:eastAsia="zh-CN"/>
              </w:rPr>
              <w:t>2）</w:t>
            </w:r>
            <w:r>
              <w:rPr>
                <w:rFonts w:hint="eastAsia" w:ascii="仿宋" w:hAnsi="仿宋" w:eastAsia="仿宋" w:cs="仿宋"/>
                <w:b w:val="0"/>
                <w:color w:val="auto"/>
                <w:sz w:val="24"/>
                <w:highlight w:val="none"/>
                <w:u w:val="none"/>
              </w:rPr>
              <w:t>残疾人福利性单位声明函；</w:t>
            </w:r>
            <w:r>
              <w:rPr>
                <w:rFonts w:hint="eastAsia" w:ascii="仿宋" w:hAnsi="仿宋" w:eastAsia="仿宋" w:cs="仿宋"/>
                <w:b w:val="0"/>
                <w:i/>
                <w:iCs/>
                <w:color w:val="auto"/>
                <w:sz w:val="24"/>
                <w:highlight w:val="none"/>
                <w:u w:val="none"/>
              </w:rPr>
              <w:t>（如有）</w:t>
            </w:r>
          </w:p>
          <w:p w14:paraId="4F9A4FCC">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i/>
                <w:iCs/>
                <w:color w:val="auto"/>
                <w:sz w:val="24"/>
                <w:highlight w:val="none"/>
                <w:u w:val="none"/>
              </w:rPr>
            </w:pPr>
            <w:r>
              <w:rPr>
                <w:rFonts w:hint="eastAsia" w:ascii="仿宋" w:hAnsi="仿宋" w:eastAsia="仿宋" w:cs="仿宋"/>
                <w:b w:val="0"/>
                <w:i w:val="0"/>
                <w:iCs w:val="0"/>
                <w:color w:val="auto"/>
                <w:sz w:val="24"/>
                <w:highlight w:val="none"/>
                <w:u w:val="none"/>
                <w:lang w:val="en-US" w:eastAsia="zh-CN"/>
              </w:rPr>
              <w:t>（3）</w:t>
            </w:r>
            <w:r>
              <w:rPr>
                <w:rFonts w:hint="eastAsia" w:ascii="仿宋" w:hAnsi="仿宋" w:eastAsia="仿宋" w:cs="仿宋"/>
                <w:b w:val="0"/>
                <w:i w:val="0"/>
                <w:iCs w:val="0"/>
                <w:color w:val="auto"/>
                <w:sz w:val="24"/>
                <w:highlight w:val="none"/>
                <w:u w:val="none"/>
                <w:lang w:eastAsia="zh-CN"/>
              </w:rPr>
              <w:t>《关于符合本国产品标准的声明函》</w:t>
            </w:r>
            <w:r>
              <w:rPr>
                <w:rFonts w:hint="eastAsia" w:ascii="仿宋" w:hAnsi="仿宋" w:eastAsia="仿宋" w:cs="仿宋"/>
                <w:b w:val="0"/>
                <w:i w:val="0"/>
                <w:iCs w:val="0"/>
                <w:color w:val="auto"/>
                <w:sz w:val="24"/>
                <w:highlight w:val="none"/>
                <w:u w:val="none"/>
                <w:lang w:val="en-US" w:eastAsia="zh-CN"/>
              </w:rPr>
              <w:t>或国家有关部门规定的证明文件</w:t>
            </w:r>
            <w:r>
              <w:rPr>
                <w:rFonts w:hint="eastAsia" w:ascii="仿宋" w:hAnsi="仿宋" w:eastAsia="仿宋" w:cs="仿宋"/>
                <w:b w:val="0"/>
                <w:i w:val="0"/>
                <w:iCs w:val="0"/>
                <w:color w:val="auto"/>
                <w:sz w:val="24"/>
                <w:highlight w:val="none"/>
                <w:u w:val="none"/>
              </w:rPr>
              <w:t>；</w:t>
            </w:r>
            <w:r>
              <w:rPr>
                <w:rFonts w:hint="eastAsia" w:ascii="仿宋" w:hAnsi="仿宋" w:eastAsia="仿宋" w:cs="仿宋"/>
                <w:b w:val="0"/>
                <w:i/>
                <w:iCs/>
                <w:color w:val="auto"/>
                <w:sz w:val="24"/>
                <w:highlight w:val="none"/>
                <w:u w:val="none"/>
              </w:rPr>
              <w:t>（如有）</w:t>
            </w:r>
          </w:p>
          <w:p w14:paraId="6C46B957">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color w:val="auto"/>
                <w:sz w:val="24"/>
                <w:highlight w:val="none"/>
                <w:u w:val="none"/>
              </w:rPr>
              <w:t>（</w:t>
            </w:r>
            <w:r>
              <w:rPr>
                <w:rFonts w:hint="eastAsia" w:ascii="仿宋" w:hAnsi="仿宋" w:eastAsia="仿宋" w:cs="仿宋"/>
                <w:b w:val="0"/>
                <w:color w:val="auto"/>
                <w:sz w:val="24"/>
                <w:highlight w:val="none"/>
                <w:u w:val="none"/>
                <w:lang w:val="en-US" w:eastAsia="zh-CN"/>
              </w:rPr>
              <w:t>4</w:t>
            </w:r>
            <w:r>
              <w:rPr>
                <w:rFonts w:hint="eastAsia" w:ascii="仿宋" w:hAnsi="仿宋" w:eastAsia="仿宋" w:cs="仿宋"/>
                <w:b w:val="0"/>
                <w:color w:val="auto"/>
                <w:sz w:val="24"/>
                <w:highlight w:val="none"/>
                <w:u w:val="none"/>
              </w:rPr>
              <w:t>）因落实政府采购政策等原因进行价格扣除后成交供应商的评审报价</w:t>
            </w:r>
            <w:r>
              <w:rPr>
                <w:rFonts w:hint="eastAsia" w:ascii="仿宋" w:hAnsi="仿宋" w:eastAsia="仿宋" w:cs="仿宋"/>
                <w:b w:val="0"/>
                <w:color w:val="auto"/>
                <w:sz w:val="24"/>
                <w:highlight w:val="none"/>
                <w:u w:val="none"/>
                <w:lang w:eastAsia="zh-CN"/>
              </w:rPr>
              <w:t>。</w:t>
            </w:r>
          </w:p>
        </w:tc>
      </w:tr>
      <w:tr w14:paraId="48B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97" w:hRule="atLeast"/>
          <w:jc w:val="center"/>
        </w:trPr>
        <w:tc>
          <w:tcPr>
            <w:tcW w:w="347" w:type="pct"/>
            <w:vAlign w:val="center"/>
          </w:tcPr>
          <w:p w14:paraId="7ED6D2DD">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23</w:t>
            </w:r>
            <w:r>
              <w:rPr>
                <w:rFonts w:hint="eastAsia" w:ascii="仿宋" w:hAnsi="仿宋" w:eastAsia="仿宋" w:cs="仿宋"/>
                <w:bCs/>
                <w:color w:val="auto"/>
                <w:kern w:val="2"/>
                <w:highlight w:val="none"/>
              </w:rPr>
              <w:t>.1</w:t>
            </w:r>
          </w:p>
        </w:tc>
        <w:tc>
          <w:tcPr>
            <w:tcW w:w="747" w:type="pct"/>
            <w:vAlign w:val="center"/>
          </w:tcPr>
          <w:p w14:paraId="3CB9DE97">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成交通知书发出的形式</w:t>
            </w:r>
          </w:p>
        </w:tc>
        <w:tc>
          <w:tcPr>
            <w:tcW w:w="3904" w:type="pct"/>
            <w:vAlign w:val="center"/>
          </w:tcPr>
          <w:p w14:paraId="26B937D2">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书面</w:t>
            </w:r>
          </w:p>
        </w:tc>
      </w:tr>
      <w:tr w14:paraId="4A1A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71928DB4">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 w:val="0"/>
                <w:bCs/>
                <w:color w:val="auto"/>
                <w:sz w:val="24"/>
                <w:szCs w:val="24"/>
                <w:highlight w:val="none"/>
                <w:lang w:val="en-US" w:eastAsia="zh-CN"/>
              </w:rPr>
              <w:t>24.1</w:t>
            </w:r>
          </w:p>
        </w:tc>
        <w:tc>
          <w:tcPr>
            <w:tcW w:w="747" w:type="pct"/>
            <w:vAlign w:val="center"/>
          </w:tcPr>
          <w:p w14:paraId="7C7837AC">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bCs/>
                <w:color w:val="auto"/>
                <w:sz w:val="24"/>
                <w:szCs w:val="24"/>
                <w:highlight w:val="none"/>
                <w:lang w:val="en-US" w:eastAsia="zh-CN"/>
              </w:rPr>
              <w:t>告知谈判结果的形式</w:t>
            </w:r>
          </w:p>
        </w:tc>
        <w:tc>
          <w:tcPr>
            <w:tcW w:w="3904" w:type="pct"/>
            <w:vAlign w:val="center"/>
          </w:tcPr>
          <w:p w14:paraId="34D9BA0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lang w:val="en-US" w:eastAsia="zh-CN"/>
              </w:rPr>
              <w:t>谈判现场告知</w:t>
            </w:r>
          </w:p>
        </w:tc>
      </w:tr>
      <w:tr w14:paraId="1737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293BE967">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25</w:t>
            </w:r>
            <w:r>
              <w:rPr>
                <w:rFonts w:hint="eastAsia" w:ascii="仿宋" w:hAnsi="仿宋" w:eastAsia="仿宋" w:cs="仿宋"/>
                <w:bCs/>
                <w:color w:val="auto"/>
                <w:kern w:val="2"/>
                <w:highlight w:val="none"/>
              </w:rPr>
              <w:t>.1</w:t>
            </w:r>
          </w:p>
        </w:tc>
        <w:tc>
          <w:tcPr>
            <w:tcW w:w="747" w:type="pct"/>
            <w:vAlign w:val="center"/>
          </w:tcPr>
          <w:p w14:paraId="7D226F8D">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履约保证金</w:t>
            </w:r>
          </w:p>
        </w:tc>
        <w:tc>
          <w:tcPr>
            <w:tcW w:w="3904" w:type="pct"/>
            <w:vAlign w:val="center"/>
          </w:tcPr>
          <w:p w14:paraId="70E3907F">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1、成交供应商在签订合同时应向采购人提交合同总价</w:t>
            </w:r>
            <w:r>
              <w:rPr>
                <w:rFonts w:hint="eastAsia" w:ascii="仿宋" w:hAnsi="仿宋" w:eastAsia="仿宋" w:cs="仿宋"/>
                <w:bCs/>
                <w:color w:val="auto"/>
                <w:kern w:val="0"/>
                <w:sz w:val="24"/>
                <w:szCs w:val="28"/>
                <w:highlight w:val="none"/>
                <w:u w:val="single"/>
                <w:lang w:val="en-US" w:eastAsia="zh-CN"/>
              </w:rPr>
              <w:t xml:space="preserve"> /</w:t>
            </w:r>
            <w:r>
              <w:rPr>
                <w:rFonts w:hint="eastAsia" w:ascii="仿宋" w:hAnsi="仿宋" w:eastAsia="仿宋" w:cs="仿宋"/>
                <w:bCs/>
                <w:color w:val="auto"/>
                <w:kern w:val="0"/>
                <w:sz w:val="24"/>
                <w:szCs w:val="28"/>
                <w:highlight w:val="none"/>
                <w:u w:val="single"/>
              </w:rPr>
              <w:t xml:space="preserve"> </w:t>
            </w:r>
            <w:r>
              <w:rPr>
                <w:rFonts w:hint="eastAsia" w:ascii="仿宋" w:hAnsi="仿宋" w:eastAsia="仿宋" w:cs="仿宋"/>
                <w:bCs/>
                <w:color w:val="auto"/>
                <w:kern w:val="0"/>
                <w:sz w:val="24"/>
                <w:szCs w:val="28"/>
                <w:highlight w:val="none"/>
              </w:rPr>
              <w:t>%的履约保证金（最高缴纳比例不得超过合同金额的2.5%）。</w:t>
            </w:r>
          </w:p>
          <w:p w14:paraId="663C54DF">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2、成交供应商可以通过转账、网银支付、汇票、支票、保证保险、担保保函、银行履约保函等方式提交履约保证金。</w:t>
            </w:r>
          </w:p>
          <w:p w14:paraId="6F55788F">
            <w:pPr>
              <w:pStyle w:val="5"/>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kern w:val="0"/>
                <w:sz w:val="24"/>
                <w:szCs w:val="28"/>
                <w:highlight w:val="none"/>
                <w:lang w:val="en-US"/>
              </w:rPr>
            </w:pPr>
            <w:r>
              <w:rPr>
                <w:rFonts w:hint="eastAsia" w:ascii="仿宋" w:hAnsi="仿宋" w:eastAsia="仿宋" w:cs="仿宋"/>
                <w:bCs/>
                <w:color w:val="auto"/>
                <w:kern w:val="0"/>
                <w:sz w:val="24"/>
                <w:szCs w:val="28"/>
                <w:highlight w:val="none"/>
              </w:rPr>
              <w:t>3、项目验收结束后</w:t>
            </w:r>
            <w:r>
              <w:rPr>
                <w:rFonts w:hint="eastAsia" w:ascii="仿宋" w:hAnsi="仿宋" w:eastAsia="仿宋" w:cs="仿宋"/>
                <w:bCs/>
                <w:color w:val="auto"/>
                <w:kern w:val="0"/>
                <w:sz w:val="24"/>
                <w:szCs w:val="28"/>
                <w:highlight w:val="none"/>
                <w:lang w:val="en-US" w:eastAsia="zh-CN"/>
              </w:rPr>
              <w:t>将</w:t>
            </w:r>
            <w:r>
              <w:rPr>
                <w:rFonts w:hint="eastAsia" w:ascii="仿宋" w:hAnsi="仿宋" w:eastAsia="仿宋" w:cs="仿宋"/>
                <w:bCs/>
                <w:color w:val="auto"/>
                <w:kern w:val="0"/>
                <w:sz w:val="24"/>
                <w:szCs w:val="28"/>
                <w:highlight w:val="none"/>
              </w:rPr>
              <w:t>及时退还履约保证金。</w:t>
            </w:r>
          </w:p>
          <w:p w14:paraId="16FD3372">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注意事项：</w:t>
            </w:r>
          </w:p>
          <w:p w14:paraId="19626666">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（1）以上各类机构出具的以担保函、保证保险承担责任的方式均须满足无条件见索即付条件。</w:t>
            </w:r>
          </w:p>
          <w:p w14:paraId="5590E7DF">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szCs w:val="24"/>
                <w:highlight w:val="none"/>
              </w:rPr>
              <w:t>（2）以担保函、保证保险形式缴纳履约保证金的，受益人和收取单位须为采购人。</w:t>
            </w:r>
          </w:p>
        </w:tc>
      </w:tr>
      <w:tr w14:paraId="2D1E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4DC9A3D6">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26</w:t>
            </w:r>
            <w:r>
              <w:rPr>
                <w:rFonts w:hint="eastAsia" w:ascii="仿宋" w:hAnsi="仿宋" w:eastAsia="仿宋" w:cs="仿宋"/>
                <w:bCs/>
                <w:color w:val="auto"/>
                <w:kern w:val="2"/>
                <w:highlight w:val="none"/>
              </w:rPr>
              <w:t>.1</w:t>
            </w:r>
          </w:p>
        </w:tc>
        <w:tc>
          <w:tcPr>
            <w:tcW w:w="747" w:type="pct"/>
            <w:vAlign w:val="center"/>
          </w:tcPr>
          <w:p w14:paraId="1375B2D2">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lang w:val="en-US" w:eastAsia="zh-CN"/>
              </w:rPr>
              <w:t>代理服务费</w:t>
            </w:r>
          </w:p>
        </w:tc>
        <w:tc>
          <w:tcPr>
            <w:tcW w:w="3904" w:type="pct"/>
            <w:vAlign w:val="center"/>
          </w:tcPr>
          <w:p w14:paraId="3DE2D51D">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bCs w:val="0"/>
                <w:color w:val="auto"/>
                <w:sz w:val="24"/>
                <w:szCs w:val="24"/>
                <w:highlight w:val="none"/>
                <w:lang w:val="en-US" w:eastAsia="zh-CN"/>
              </w:rPr>
              <w:t>服务费用参照原国家计委计价格[2002]1980号文件及安徽省物价局、安徽省建设厅皖价服[2007]86号文规定收费标准的80%计取，由成交人支付。（按分包段支付）</w:t>
            </w:r>
          </w:p>
        </w:tc>
      </w:tr>
      <w:tr w14:paraId="4742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0C044C9C">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27.1</w:t>
            </w:r>
          </w:p>
        </w:tc>
        <w:tc>
          <w:tcPr>
            <w:tcW w:w="747" w:type="pct"/>
            <w:vAlign w:val="center"/>
          </w:tcPr>
          <w:p w14:paraId="08FDDDB1">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rPr>
              <w:t>签订合同、合同公告、验收与支付时间</w:t>
            </w:r>
          </w:p>
        </w:tc>
        <w:tc>
          <w:tcPr>
            <w:tcW w:w="3904" w:type="pct"/>
            <w:vAlign w:val="center"/>
          </w:tcPr>
          <w:p w14:paraId="0FB27C63">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（1）采购人与成交供应商应当自发出成交通知书之日起7个工作日内签订合同。</w:t>
            </w:r>
          </w:p>
          <w:p w14:paraId="4C2A823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（2）采购人与</w:t>
            </w:r>
            <w:r>
              <w:rPr>
                <w:rFonts w:hint="eastAsia" w:ascii="仿宋" w:hAnsi="仿宋" w:eastAsia="仿宋" w:cs="仿宋"/>
                <w:b w:val="0"/>
                <w:bCs/>
                <w:color w:val="auto"/>
                <w:sz w:val="24"/>
                <w:highlight w:val="none"/>
                <w:lang w:val="en-US" w:eastAsia="zh-CN"/>
              </w:rPr>
              <w:t>成交供应商</w:t>
            </w:r>
            <w:r>
              <w:rPr>
                <w:rFonts w:hint="eastAsia" w:ascii="仿宋" w:hAnsi="仿宋" w:eastAsia="仿宋" w:cs="仿宋"/>
                <w:b w:val="0"/>
                <w:bCs/>
                <w:color w:val="auto"/>
                <w:sz w:val="24"/>
                <w:szCs w:val="24"/>
                <w:highlight w:val="none"/>
              </w:rPr>
              <w:t>不得擅自变更合同。</w:t>
            </w:r>
          </w:p>
          <w:p w14:paraId="48DBDC6D">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）采购人应当在项目完成且收到供应商验收申请后 5 个工作日内组织开展履约验收。</w:t>
            </w:r>
          </w:p>
          <w:p w14:paraId="4F114067">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1856237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）涉及安全、消防、环保等其他需要由质检或行业主管部门进行验收的项目，必须邀请相关部门或相关专家参与验收。</w:t>
            </w:r>
          </w:p>
          <w:p w14:paraId="6EDA9A48">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29033C42">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5CB7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094917F1">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29</w:t>
            </w:r>
            <w:r>
              <w:rPr>
                <w:rFonts w:hint="eastAsia" w:ascii="仿宋" w:hAnsi="仿宋" w:eastAsia="仿宋" w:cs="仿宋"/>
                <w:bCs/>
                <w:color w:val="auto"/>
                <w:kern w:val="2"/>
                <w:highlight w:val="none"/>
              </w:rPr>
              <w:t>.</w:t>
            </w:r>
            <w:r>
              <w:rPr>
                <w:rFonts w:hint="eastAsia" w:ascii="仿宋" w:hAnsi="仿宋" w:eastAsia="仿宋" w:cs="仿宋"/>
                <w:bCs/>
                <w:color w:val="auto"/>
                <w:kern w:val="2"/>
                <w:highlight w:val="none"/>
                <w:lang w:val="en-US" w:eastAsia="zh-CN"/>
              </w:rPr>
              <w:t>3</w:t>
            </w:r>
          </w:p>
        </w:tc>
        <w:tc>
          <w:tcPr>
            <w:tcW w:w="747" w:type="pct"/>
            <w:vAlign w:val="center"/>
          </w:tcPr>
          <w:p w14:paraId="2D7C6CD9">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rPr>
              <w:t>质疑函递交方式</w:t>
            </w:r>
          </w:p>
        </w:tc>
        <w:tc>
          <w:tcPr>
            <w:tcW w:w="3904" w:type="pct"/>
            <w:vAlign w:val="center"/>
          </w:tcPr>
          <w:p w14:paraId="518CA473">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1、供应商若对采购文件有关内容存在质疑，可在</w:t>
            </w:r>
            <w:r>
              <w:rPr>
                <w:rFonts w:hint="eastAsia" w:ascii="仿宋" w:hAnsi="仿宋" w:eastAsia="仿宋" w:cs="仿宋"/>
                <w:b w:val="0"/>
                <w:bCs/>
                <w:color w:val="auto"/>
                <w:sz w:val="24"/>
                <w:szCs w:val="24"/>
                <w:highlight w:val="none"/>
              </w:rPr>
              <w:t>法定质疑时限内</w:t>
            </w:r>
            <w:r>
              <w:rPr>
                <w:rFonts w:hint="eastAsia" w:ascii="仿宋" w:hAnsi="仿宋" w:eastAsia="仿宋" w:cs="仿宋"/>
                <w:b w:val="0"/>
                <w:bCs/>
                <w:color w:val="auto"/>
                <w:sz w:val="24"/>
                <w:szCs w:val="24"/>
                <w:highlight w:val="none"/>
                <w:lang w:val="zh-CN"/>
              </w:rPr>
              <w:t>通过</w:t>
            </w:r>
            <w:r>
              <w:rPr>
                <w:rFonts w:hint="eastAsia" w:ascii="仿宋" w:hAnsi="仿宋" w:eastAsia="仿宋" w:cs="仿宋"/>
                <w:b w:val="0"/>
                <w:bCs/>
                <w:color w:val="auto"/>
                <w:sz w:val="24"/>
                <w:szCs w:val="24"/>
                <w:highlight w:val="none"/>
              </w:rPr>
              <w:t>以下方式提出：以书面形式在工作时间向采购人、采购代理机构提出质疑</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接收邮箱1955794806@qq.com),</w:t>
            </w:r>
            <w:r>
              <w:rPr>
                <w:rFonts w:hint="eastAsia" w:ascii="仿宋" w:hAnsi="仿宋" w:eastAsia="仿宋" w:cs="仿宋"/>
                <w:b w:val="0"/>
                <w:bCs/>
                <w:color w:val="auto"/>
                <w:sz w:val="24"/>
                <w:szCs w:val="24"/>
                <w:highlight w:val="none"/>
                <w:lang w:val="zh-CN"/>
              </w:rPr>
              <w:t>质疑文件须按《政府采购质疑和投诉办法》（财政部令第94号）规定的要求制作，质疑文件不可匿名，须以附件形式加盖质疑人</w:t>
            </w:r>
            <w:r>
              <w:rPr>
                <w:rFonts w:hint="eastAsia" w:ascii="仿宋" w:hAnsi="仿宋" w:eastAsia="仿宋" w:cs="仿宋"/>
                <w:b w:val="0"/>
                <w:bCs/>
                <w:color w:val="auto"/>
                <w:sz w:val="24"/>
                <w:szCs w:val="24"/>
                <w:highlight w:val="none"/>
                <w:lang w:val="en-US" w:eastAsia="zh-CN"/>
              </w:rPr>
              <w:t>单位盖章后</w:t>
            </w:r>
            <w:r>
              <w:rPr>
                <w:rFonts w:hint="eastAsia" w:ascii="仿宋" w:hAnsi="仿宋" w:eastAsia="仿宋" w:cs="仿宋"/>
                <w:b w:val="0"/>
                <w:bCs/>
                <w:color w:val="auto"/>
                <w:sz w:val="24"/>
                <w:szCs w:val="24"/>
                <w:highlight w:val="none"/>
                <w:lang w:val="zh-CN"/>
              </w:rPr>
              <w:t>提交。</w:t>
            </w:r>
          </w:p>
          <w:p w14:paraId="18B9826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szCs w:val="24"/>
                <w:highlight w:val="none"/>
                <w:lang w:val="zh-CN"/>
              </w:rPr>
            </w:pPr>
            <w:r>
              <w:rPr>
                <w:rFonts w:hint="eastAsia" w:ascii="仿宋" w:hAnsi="仿宋" w:eastAsia="仿宋" w:cs="仿宋"/>
                <w:b w:val="0"/>
                <w:color w:val="auto"/>
                <w:sz w:val="24"/>
                <w:szCs w:val="24"/>
                <w:highlight w:val="none"/>
                <w:lang w:val="zh-CN"/>
              </w:rPr>
              <w:t>2、</w:t>
            </w:r>
            <w:r>
              <w:rPr>
                <w:rFonts w:hint="eastAsia" w:ascii="仿宋" w:hAnsi="仿宋" w:eastAsia="仿宋" w:cs="仿宋"/>
                <w:b w:val="0"/>
                <w:bCs/>
                <w:color w:val="auto"/>
                <w:sz w:val="24"/>
                <w:szCs w:val="24"/>
                <w:highlight w:val="none"/>
                <w:lang w:val="zh-CN"/>
              </w:rPr>
              <w:t>采购人（采购代理机构）将通过</w:t>
            </w:r>
            <w:r>
              <w:rPr>
                <w:rFonts w:hint="eastAsia" w:ascii="仿宋" w:hAnsi="仿宋" w:eastAsia="仿宋" w:cs="仿宋"/>
                <w:b w:val="0"/>
                <w:bCs/>
                <w:color w:val="auto"/>
                <w:sz w:val="24"/>
                <w:szCs w:val="24"/>
                <w:highlight w:val="none"/>
                <w:lang w:val="en-US" w:eastAsia="zh-CN"/>
              </w:rPr>
              <w:t>邮箱</w:t>
            </w:r>
            <w:r>
              <w:rPr>
                <w:rFonts w:hint="eastAsia" w:ascii="仿宋" w:hAnsi="仿宋" w:eastAsia="仿宋" w:cs="仿宋"/>
                <w:b w:val="0"/>
                <w:bCs/>
                <w:color w:val="auto"/>
                <w:sz w:val="24"/>
                <w:szCs w:val="24"/>
                <w:highlight w:val="none"/>
                <w:lang w:val="zh-CN"/>
              </w:rPr>
              <w:t>于收到质疑文件后七个工作日内答复，请质疑人及时查收答疑文件。</w:t>
            </w:r>
          </w:p>
          <w:p w14:paraId="3191E60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kern w:val="0"/>
                <w:sz w:val="24"/>
                <w:szCs w:val="24"/>
                <w:highlight w:val="none"/>
              </w:rPr>
              <w:t>3、请各潜在供应商在响应截止时间前，务必登录</w:t>
            </w:r>
            <w:r>
              <w:rPr>
                <w:rFonts w:hint="eastAsia" w:ascii="仿宋" w:hAnsi="仿宋" w:eastAsia="仿宋" w:cs="仿宋"/>
                <w:b w:val="0"/>
                <w:color w:val="auto"/>
                <w:kern w:val="0"/>
                <w:sz w:val="24"/>
                <w:szCs w:val="24"/>
                <w:highlight w:val="none"/>
                <w:lang w:val="en-US" w:eastAsia="zh-CN"/>
              </w:rPr>
              <w:t>公告网站发布</w:t>
            </w:r>
            <w:r>
              <w:rPr>
                <w:rFonts w:hint="eastAsia" w:ascii="仿宋" w:hAnsi="仿宋" w:eastAsia="仿宋" w:cs="仿宋"/>
                <w:b w:val="0"/>
                <w:color w:val="auto"/>
                <w:kern w:val="0"/>
                <w:sz w:val="24"/>
                <w:szCs w:val="24"/>
                <w:highlight w:val="none"/>
              </w:rPr>
              <w:t>栏目，查看是否发布有关项目更正公告。更正公告为采购文件的有效组成部分，一经发布即为视同已通知所有潜在供应商，若因未及时关注而造成的一切后果，由供应商自行承担。</w:t>
            </w:r>
          </w:p>
        </w:tc>
      </w:tr>
      <w:tr w14:paraId="23F0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47" w:type="pct"/>
            <w:vAlign w:val="center"/>
          </w:tcPr>
          <w:p w14:paraId="3AED70F5">
            <w:pPr>
              <w:pStyle w:val="33"/>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highlight w:val="none"/>
                <w:lang w:val="en-US" w:eastAsia="zh-CN"/>
              </w:rPr>
              <w:t>30</w:t>
            </w:r>
          </w:p>
        </w:tc>
        <w:tc>
          <w:tcPr>
            <w:tcW w:w="747" w:type="pct"/>
            <w:vAlign w:val="center"/>
          </w:tcPr>
          <w:p w14:paraId="4AE27082">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color w:val="auto"/>
                <w:sz w:val="24"/>
                <w:highlight w:val="none"/>
                <w:lang w:val="en-US" w:eastAsia="zh-CN"/>
              </w:rPr>
              <w:t>其他内容</w:t>
            </w:r>
          </w:p>
        </w:tc>
        <w:tc>
          <w:tcPr>
            <w:tcW w:w="3904" w:type="pct"/>
            <w:vAlign w:val="center"/>
          </w:tcPr>
          <w:p w14:paraId="658FC898">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color w:val="auto"/>
                <w:sz w:val="24"/>
                <w:highlight w:val="none"/>
                <w:lang w:val="en-US" w:eastAsia="zh-CN"/>
              </w:rPr>
            </w:pPr>
            <w:r>
              <w:rPr>
                <w:rFonts w:hint="eastAsia" w:ascii="仿宋" w:hAnsi="仿宋" w:eastAsia="仿宋" w:cs="仿宋"/>
                <w:b w:val="0"/>
                <w:color w:val="auto"/>
                <w:sz w:val="24"/>
                <w:highlight w:val="none"/>
                <w:lang w:val="en-US" w:eastAsia="zh-CN"/>
              </w:rPr>
              <w:t>1、解释权：</w:t>
            </w:r>
          </w:p>
          <w:p w14:paraId="7A2A94BC">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（1）构成本</w:t>
            </w:r>
            <w:r>
              <w:rPr>
                <w:rFonts w:hint="eastAsia" w:ascii="仿宋" w:hAnsi="仿宋" w:eastAsia="仿宋" w:cs="仿宋"/>
                <w:bCs/>
                <w:color w:val="auto"/>
                <w:sz w:val="24"/>
                <w:szCs w:val="24"/>
                <w:highlight w:val="none"/>
                <w:lang w:val="en-US" w:eastAsia="zh-CN"/>
              </w:rPr>
              <w:t>谈判</w:t>
            </w:r>
            <w:r>
              <w:rPr>
                <w:rFonts w:hint="eastAsia" w:ascii="仿宋" w:hAnsi="仿宋" w:eastAsia="仿宋" w:cs="仿宋"/>
                <w:bCs/>
                <w:color w:val="auto"/>
                <w:sz w:val="24"/>
                <w:szCs w:val="24"/>
                <w:highlight w:val="none"/>
              </w:rPr>
              <w:t>文件的各个组成文件应互为解释，互为说明；</w:t>
            </w:r>
          </w:p>
          <w:p w14:paraId="3328FE2D">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（2）同一组成文件中就同一事项的规定或约定不一致的，以编排顺序在后者为准；</w:t>
            </w:r>
          </w:p>
          <w:p w14:paraId="0E22499B">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（3）如有不明确或不一致，构成合同文件组成内容的，以合同文件约定内容为准，且以专用合同条款约定的合同文件优先顺序解释；</w:t>
            </w:r>
          </w:p>
          <w:p w14:paraId="060216CF">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（4）除谈判文件中有特别规定外，仅适用于谈判及响应文件提交阶段的规定，按</w:t>
            </w:r>
            <w:r>
              <w:rPr>
                <w:rFonts w:hint="eastAsia" w:ascii="仿宋" w:hAnsi="仿宋" w:eastAsia="仿宋" w:cs="仿宋"/>
                <w:bCs/>
                <w:color w:val="auto"/>
                <w:sz w:val="24"/>
                <w:szCs w:val="24"/>
                <w:highlight w:val="none"/>
                <w:lang w:eastAsia="zh-CN"/>
              </w:rPr>
              <w:t>采购邀请</w:t>
            </w:r>
            <w:r>
              <w:rPr>
                <w:rFonts w:hint="eastAsia" w:ascii="仿宋" w:hAnsi="仿宋" w:eastAsia="仿宋" w:cs="仿宋"/>
                <w:bCs/>
                <w:color w:val="auto"/>
                <w:sz w:val="24"/>
                <w:szCs w:val="24"/>
                <w:highlight w:val="none"/>
              </w:rPr>
              <w:t>、供应商须知、评审方法和标准、响应文件格式的先后顺序解释；</w:t>
            </w:r>
          </w:p>
          <w:p w14:paraId="500BCE37">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（5）按本款前述规定仍不能形成结论的，由采购人负责解释。</w:t>
            </w:r>
          </w:p>
          <w:p w14:paraId="125BAD1E">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61BA797D">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u w:val="none"/>
                <w:lang w:val="en-US" w:eastAsia="zh-CN"/>
              </w:rPr>
              <w:t>3、采购文件中，所称的“以上”、“以下”、“内”、“以内”，包括本数；所称的“不足”，不包括本数。</w:t>
            </w:r>
          </w:p>
        </w:tc>
      </w:tr>
    </w:tbl>
    <w:p w14:paraId="22FB0176">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8"/>
          <w:highlight w:val="none"/>
        </w:rPr>
        <w:br w:type="page"/>
      </w:r>
      <w:bookmarkStart w:id="63" w:name="_Toc6109"/>
      <w:bookmarkStart w:id="64" w:name="_Toc577"/>
      <w:r>
        <w:rPr>
          <w:rFonts w:hint="eastAsia" w:ascii="仿宋" w:hAnsi="仿宋" w:eastAsia="仿宋" w:cs="仿宋"/>
          <w:b/>
          <w:color w:val="auto"/>
          <w:sz w:val="24"/>
          <w:highlight w:val="none"/>
        </w:rPr>
        <w:t>二、供应商须知正文</w:t>
      </w:r>
      <w:bookmarkEnd w:id="63"/>
      <w:bookmarkEnd w:id="64"/>
    </w:p>
    <w:p w14:paraId="094797B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.采购人、采购代理机构及供应商</w:t>
      </w:r>
    </w:p>
    <w:p w14:paraId="06D266A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.1采购人：是指依法开展政府采购活动的国家机关、事业单位、团体组织。</w:t>
      </w:r>
    </w:p>
    <w:p w14:paraId="7D018B6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.2采购代理机构：是指集中采购机构或从事采购代理业务的社会中介机构。</w:t>
      </w:r>
    </w:p>
    <w:p w14:paraId="3561C00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.3政府采购监督管理部门：各级人民政府指定的有关部门依法履行与政府采购活动有关的监督管理职责。</w:t>
      </w:r>
    </w:p>
    <w:p w14:paraId="1BEC03B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.4供应商：是指向采购人提供货物、工程或者服务的法人、</w:t>
      </w:r>
      <w:r>
        <w:rPr>
          <w:rFonts w:hint="eastAsia" w:ascii="仿宋" w:hAnsi="仿宋" w:eastAsia="仿宋" w:cs="仿宋"/>
          <w:color w:val="auto"/>
          <w:sz w:val="24"/>
          <w:highlight w:val="none"/>
          <w:lang w:val="en-US" w:eastAsia="zh-CN"/>
        </w:rPr>
        <w:t>其他</w:t>
      </w:r>
      <w:r>
        <w:rPr>
          <w:rFonts w:hint="eastAsia" w:ascii="仿宋" w:hAnsi="仿宋" w:eastAsia="仿宋" w:cs="仿宋"/>
          <w:color w:val="auto"/>
          <w:sz w:val="24"/>
          <w:highlight w:val="none"/>
        </w:rPr>
        <w:t>组织或者自然人。</w:t>
      </w:r>
      <w:bookmarkStart w:id="65" w:name="_Hlk60610946"/>
      <w:r>
        <w:rPr>
          <w:rFonts w:hint="eastAsia" w:ascii="仿宋" w:hAnsi="仿宋" w:eastAsia="仿宋" w:cs="仿宋"/>
          <w:color w:val="auto"/>
          <w:sz w:val="24"/>
          <w:highlight w:val="none"/>
        </w:rPr>
        <w:t>分支机构不得参加政府采购活动，但银行、保险、石油石化、电力、电信等有行业特殊情况的，</w:t>
      </w:r>
      <w:r>
        <w:rPr>
          <w:rFonts w:hint="eastAsia" w:ascii="仿宋" w:hAnsi="仿宋" w:eastAsia="仿宋" w:cs="仿宋"/>
          <w:color w:val="auto"/>
          <w:sz w:val="24"/>
          <w:highlight w:val="none"/>
          <w:lang w:eastAsia="zh-CN"/>
        </w:rPr>
        <w:t>在</w:t>
      </w:r>
      <w:r>
        <w:rPr>
          <w:rFonts w:hint="eastAsia" w:ascii="仿宋" w:hAnsi="仿宋" w:eastAsia="仿宋" w:cs="仿宋"/>
          <w:color w:val="auto"/>
          <w:sz w:val="24"/>
          <w:highlight w:val="none"/>
          <w:lang w:val="en-US" w:eastAsia="zh-CN"/>
        </w:rPr>
        <w:t>取得上级法人公司</w:t>
      </w:r>
      <w:r>
        <w:rPr>
          <w:rFonts w:hint="eastAsia" w:ascii="仿宋" w:hAnsi="仿宋" w:eastAsia="仿宋" w:cs="仿宋"/>
          <w:color w:val="auto"/>
          <w:sz w:val="24"/>
          <w:highlight w:val="none"/>
        </w:rPr>
        <w:t>授权后可以分公司名义参与投标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本项目的</w:t>
      </w:r>
      <w:r>
        <w:rPr>
          <w:rFonts w:hint="eastAsia" w:ascii="仿宋" w:hAnsi="仿宋" w:eastAsia="仿宋" w:cs="仿宋"/>
          <w:color w:val="auto"/>
          <w:sz w:val="24"/>
          <w:highlight w:val="none"/>
          <w:lang w:val="en-US" w:eastAsia="zh-CN"/>
        </w:rPr>
        <w:t>供应商及其所投货物</w:t>
      </w:r>
      <w:r>
        <w:rPr>
          <w:rFonts w:hint="eastAsia" w:ascii="仿宋" w:hAnsi="仿宋" w:eastAsia="仿宋" w:cs="仿宋"/>
          <w:color w:val="auto"/>
          <w:sz w:val="24"/>
          <w:highlight w:val="none"/>
        </w:rPr>
        <w:t>须满足以下条件：</w:t>
      </w:r>
    </w:p>
    <w:p w14:paraId="66D0B39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具备《中华人民共和国政府采购法》第二十二条关于供应商条件的规定，遵守本项目采购人本级和上级财政部门政府采购的有关规定。</w:t>
      </w:r>
    </w:p>
    <w:p w14:paraId="73F20E6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以采购代理机构认可的方式获得了本项目的</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w:t>
      </w:r>
    </w:p>
    <w:p w14:paraId="503663D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中写明允许采购进口产品，</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应保证所投产品可履行合法报通关手续进入中国关境内。</w:t>
      </w:r>
    </w:p>
    <w:p w14:paraId="625D299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中未写明允许采购进口产品，如</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所投产品为进口产品，其响应文件将被认定为</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无效</w:t>
      </w:r>
      <w:r>
        <w:rPr>
          <w:rFonts w:hint="eastAsia" w:ascii="仿宋" w:hAnsi="仿宋" w:eastAsia="仿宋" w:cs="仿宋"/>
          <w:color w:val="auto"/>
          <w:sz w:val="24"/>
          <w:highlight w:val="none"/>
        </w:rPr>
        <w:t>。</w:t>
      </w:r>
    </w:p>
    <w:bookmarkEnd w:id="65"/>
    <w:p w14:paraId="3E54EC8D">
      <w:pPr>
        <w:spacing w:line="360" w:lineRule="auto"/>
        <w:ind w:firstLine="435"/>
        <w:rPr>
          <w:rFonts w:hint="eastAsia" w:ascii="仿宋" w:hAnsi="仿宋" w:eastAsia="仿宋" w:cs="仿宋"/>
          <w:color w:val="auto"/>
          <w:sz w:val="24"/>
          <w:highlight w:val="none"/>
        </w:rPr>
      </w:pPr>
      <w:r>
        <w:rPr>
          <w:rFonts w:hint="eastAsia" w:ascii="仿宋" w:hAnsi="仿宋" w:eastAsia="仿宋" w:cs="仿宋"/>
          <w:bCs/>
          <w:color w:val="auto"/>
          <w:kern w:val="0"/>
          <w:sz w:val="24"/>
          <w:szCs w:val="28"/>
          <w:highlight w:val="none"/>
          <w:lang w:val="en-US" w:eastAsia="zh-CN"/>
        </w:rPr>
        <w:t>1</w:t>
      </w:r>
      <w:r>
        <w:rPr>
          <w:rFonts w:hint="eastAsia" w:ascii="仿宋" w:hAnsi="仿宋" w:eastAsia="仿宋" w:cs="仿宋"/>
          <w:bCs/>
          <w:color w:val="auto"/>
          <w:kern w:val="0"/>
          <w:sz w:val="24"/>
          <w:szCs w:val="28"/>
          <w:highlight w:val="none"/>
        </w:rPr>
        <w:t>.5若</w:t>
      </w:r>
      <w:r>
        <w:rPr>
          <w:rFonts w:hint="eastAsia" w:ascii="仿宋" w:hAnsi="仿宋" w:eastAsia="仿宋" w:cs="仿宋"/>
          <w:bCs/>
          <w:color w:val="auto"/>
          <w:kern w:val="0"/>
          <w:sz w:val="24"/>
          <w:szCs w:val="28"/>
          <w:highlight w:val="none"/>
          <w:lang w:eastAsia="zh-CN"/>
        </w:rPr>
        <w:t>采购邀请</w:t>
      </w:r>
      <w:r>
        <w:rPr>
          <w:rFonts w:hint="eastAsia" w:ascii="仿宋" w:hAnsi="仿宋" w:eastAsia="仿宋" w:cs="仿宋"/>
          <w:bCs/>
          <w:color w:val="auto"/>
          <w:kern w:val="0"/>
          <w:sz w:val="24"/>
          <w:szCs w:val="28"/>
          <w:highlight w:val="none"/>
        </w:rPr>
        <w:t>中允许联合体参加谈判，对联合体规定如下：</w:t>
      </w:r>
    </w:p>
    <w:p w14:paraId="4CABE84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.5.1两个以上供应商可以组成一个谈判联合体，以一个供应商的身份谈判。</w:t>
      </w:r>
    </w:p>
    <w:p w14:paraId="32BDBBD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.5.2联合体各方均应符合《中华人民共和国政府采购法》第二十二条规定的条件。</w:t>
      </w:r>
    </w:p>
    <w:p w14:paraId="13EC92F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.5.3采购人根据采购项目对供应商的特殊要求，联合体中至少应当有一方符合相关规定。</w:t>
      </w:r>
    </w:p>
    <w:p w14:paraId="23437B8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.5.4联合体各方应签订联合协议，明确约定联合体各方承担的工作和相应的责任，并将联合协议作为响应文件的一部分提交。</w:t>
      </w:r>
    </w:p>
    <w:p w14:paraId="30EAADF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.5.5大中型企业、其他自然人、法人或者非法人组织与小型、微型企业组成联合体共同参加谈判，联合协议中应写明小型、微型企业的协议合同金额占到联合协议合同总金额的比例。</w:t>
      </w:r>
    </w:p>
    <w:p w14:paraId="5A66DE4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.5.6联合体中有同类资质的供应商按照联合体分工承担相同工作的，应当按照资质等级较低的供应商确定资质等级。</w:t>
      </w:r>
    </w:p>
    <w:p w14:paraId="1C7949B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.5.7以联合体形式参加政府采购活动的，联合体各方不得再单独参加或者与其他供应商另外组成联合体参加本项目谈判，否则相关响应文件将被认定为</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44755B4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.5.8对联合体参加谈判的其他资格要求见申请人的资格要求。</w:t>
      </w:r>
    </w:p>
    <w:p w14:paraId="05E5F71C">
      <w:pPr>
        <w:spacing w:line="360" w:lineRule="auto"/>
        <w:ind w:firstLine="437"/>
        <w:outlineLvl w:val="2"/>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.资金</w:t>
      </w:r>
      <w:r>
        <w:rPr>
          <w:rFonts w:hint="eastAsia" w:ascii="仿宋" w:hAnsi="仿宋" w:eastAsia="仿宋" w:cs="仿宋"/>
          <w:b/>
          <w:color w:val="auto"/>
          <w:sz w:val="24"/>
          <w:highlight w:val="none"/>
          <w:lang w:val="en-US" w:eastAsia="zh-CN"/>
        </w:rPr>
        <w:t>落实情况</w:t>
      </w:r>
    </w:p>
    <w:p w14:paraId="453BD20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本项目的采购人已获得足以支付本次谈判后所签订的合同项下的资金。</w:t>
      </w:r>
    </w:p>
    <w:p w14:paraId="5AC1447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.谈判费用</w:t>
      </w:r>
    </w:p>
    <w:p w14:paraId="58CCD68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不论谈判的结果如何，供应商应承担其所有与准备和参加谈判有关的费用。</w:t>
      </w:r>
    </w:p>
    <w:p w14:paraId="578B44A6">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.适用法律</w:t>
      </w:r>
    </w:p>
    <w:p w14:paraId="7D05173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A6C9B5E">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.谈判文件构成</w:t>
      </w:r>
    </w:p>
    <w:p w14:paraId="1B9237B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.1谈判文件包括下列内容：</w:t>
      </w:r>
    </w:p>
    <w:p w14:paraId="5A896810">
      <w:pPr>
        <w:spacing w:line="360" w:lineRule="auto"/>
        <w:ind w:firstLine="840" w:firstLine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第一章  </w:t>
      </w:r>
      <w:r>
        <w:rPr>
          <w:rFonts w:hint="eastAsia" w:ascii="仿宋" w:hAnsi="仿宋" w:eastAsia="仿宋" w:cs="仿宋"/>
          <w:color w:val="auto"/>
          <w:sz w:val="24"/>
          <w:highlight w:val="none"/>
          <w:lang w:eastAsia="zh-CN"/>
        </w:rPr>
        <w:t>采购邀请</w:t>
      </w:r>
    </w:p>
    <w:p w14:paraId="368DA240">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供应商须知</w:t>
      </w:r>
    </w:p>
    <w:p w14:paraId="2E80D0E9">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采购需求</w:t>
      </w:r>
    </w:p>
    <w:p w14:paraId="6E7E4877">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评审方法和标准</w:t>
      </w:r>
    </w:p>
    <w:p w14:paraId="165EF6BF">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政府采购合同</w:t>
      </w:r>
    </w:p>
    <w:p w14:paraId="286E17E8">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响应文件格式</w:t>
      </w:r>
    </w:p>
    <w:p w14:paraId="762D821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现场踏勘</w:t>
      </w:r>
      <w:r>
        <w:rPr>
          <w:rFonts w:hint="eastAsia" w:ascii="仿宋" w:hAnsi="仿宋" w:eastAsia="仿宋" w:cs="仿宋"/>
          <w:color w:val="auto"/>
          <w:sz w:val="24"/>
          <w:highlight w:val="none"/>
          <w:lang w:eastAsia="zh-CN"/>
        </w:rPr>
        <w:t>（</w:t>
      </w:r>
      <w:r>
        <w:rPr>
          <w:rFonts w:hint="eastAsia" w:ascii="仿宋" w:hAnsi="仿宋" w:eastAsia="仿宋" w:cs="仿宋"/>
          <w:b w:val="0"/>
          <w:bCs/>
          <w:color w:val="auto"/>
          <w:kern w:val="2"/>
          <w:sz w:val="24"/>
          <w:szCs w:val="22"/>
          <w:highlight w:val="none"/>
          <w:lang w:val="en-US" w:eastAsia="zh-CN" w:bidi="ar-SA"/>
        </w:rPr>
        <w:t>标前答疑会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及相关事项见</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w:t>
      </w:r>
    </w:p>
    <w:p w14:paraId="492C6C1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供应商应认真阅读谈判文件所有的事项、格式、条款和技术规范等。</w:t>
      </w:r>
    </w:p>
    <w:p w14:paraId="62D58E2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.谈判文件的澄清与修改</w:t>
      </w:r>
    </w:p>
    <w:p w14:paraId="6B85DA0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.1供应商如对谈判文件内容有疑问，</w:t>
      </w:r>
      <w:r>
        <w:rPr>
          <w:rFonts w:hint="eastAsia" w:ascii="仿宋" w:hAnsi="仿宋" w:eastAsia="仿宋" w:cs="仿宋"/>
          <w:color w:val="auto"/>
          <w:sz w:val="24"/>
          <w:highlight w:val="none"/>
          <w:lang w:eastAsia="zh-CN"/>
        </w:rPr>
        <w:t>可通过</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规定的提问形式提交给</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p>
    <w:p w14:paraId="7DB4F85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可主动地或在答复供应商提出的询问时对</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文件进行澄清与修改。</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将在</w:t>
      </w:r>
      <w:bookmarkStart w:id="66" w:name="_Hlk16458572"/>
      <w:r>
        <w:rPr>
          <w:rFonts w:hint="eastAsia" w:ascii="仿宋" w:hAnsi="仿宋" w:eastAsia="仿宋" w:cs="仿宋"/>
          <w:color w:val="auto"/>
          <w:sz w:val="24"/>
          <w:szCs w:val="24"/>
          <w:highlight w:val="none"/>
          <w:lang w:val="en-US" w:eastAsia="zh-CN"/>
        </w:rPr>
        <w:t>公告发布的网站上</w:t>
      </w:r>
      <w:bookmarkEnd w:id="66"/>
      <w:r>
        <w:rPr>
          <w:rFonts w:hint="eastAsia" w:ascii="仿宋" w:hAnsi="仿宋" w:eastAsia="仿宋" w:cs="仿宋"/>
          <w:color w:val="auto"/>
          <w:sz w:val="24"/>
          <w:szCs w:val="24"/>
          <w:highlight w:val="none"/>
        </w:rPr>
        <w:t>以发布更正公告的方式澄清或者修改</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文件，更正公告的内容作为</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文件的组成部分，对供应商起约束作用。供应商应主动上网查询。</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不承担供应商未及时关注相关信息引发的相关责任。</w:t>
      </w:r>
    </w:p>
    <w:p w14:paraId="6D7E7A6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.3任何人或任何组织向供应商提供的任何书面或口头资料，未经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在网上发布或书面通知，均作无效处理，不得作为谈判文件的组成部分。</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对供应商由此而做出的推论、理解和结论概不负责。</w:t>
      </w:r>
    </w:p>
    <w:p w14:paraId="20F19498">
      <w:pPr>
        <w:spacing w:line="360" w:lineRule="auto"/>
        <w:ind w:firstLine="435"/>
        <w:rPr>
          <w:rFonts w:hint="eastAsia" w:ascii="仿宋" w:hAnsi="仿宋" w:eastAsia="仿宋" w:cs="仿宋"/>
          <w:iCs/>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.4对于没有提出询问又参与了本项目谈判的供应商将被视为完全认同本谈判文件（含更正公告的内容）</w:t>
      </w:r>
      <w:r>
        <w:rPr>
          <w:rFonts w:hint="eastAsia" w:ascii="仿宋" w:hAnsi="仿宋" w:eastAsia="仿宋" w:cs="仿宋"/>
          <w:i w:val="0"/>
          <w:iCs/>
          <w:color w:val="auto"/>
          <w:sz w:val="24"/>
          <w:highlight w:val="none"/>
        </w:rPr>
        <w:t>。</w:t>
      </w:r>
    </w:p>
    <w:p w14:paraId="01E72D4C">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.谈判范围及响应文件中标准和计量单位的使用</w:t>
      </w:r>
    </w:p>
    <w:p w14:paraId="3C31E6F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.1项目有分包的，供应商可参与其中某一个或多个分包的谈判，成交包数详见</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中规定。</w:t>
      </w:r>
    </w:p>
    <w:p w14:paraId="037B634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7.2供应商</w:t>
      </w:r>
      <w:r>
        <w:rPr>
          <w:rFonts w:hint="eastAsia" w:ascii="仿宋" w:hAnsi="仿宋" w:eastAsia="仿宋" w:cs="仿宋"/>
          <w:color w:val="auto"/>
          <w:sz w:val="24"/>
          <w:highlight w:val="none"/>
        </w:rPr>
        <w:t>应当对所投分包</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文件中“采购需求”所列的所有内容进行</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，如仅响应所投包别中的部分内容，其所投包别的</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将被认定为</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无效</w:t>
      </w:r>
      <w:r>
        <w:rPr>
          <w:rFonts w:hint="eastAsia" w:ascii="仿宋" w:hAnsi="仿宋" w:eastAsia="仿宋" w:cs="仿宋"/>
          <w:color w:val="auto"/>
          <w:sz w:val="24"/>
          <w:highlight w:val="none"/>
        </w:rPr>
        <w:t>。</w:t>
      </w:r>
    </w:p>
    <w:p w14:paraId="42454D9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无论谈判文件中是否要求，供应商所投服务及伴随的货物和工程均应符合国家强制性标准。</w:t>
      </w:r>
    </w:p>
    <w:p w14:paraId="692BDCD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11C90E7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除谈判文件中有特殊要求外，响应文件中所使用的计量单位，应采用中华人民共和国法定计量单位。</w:t>
      </w:r>
    </w:p>
    <w:p w14:paraId="4035DA12">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.响应文件构成</w:t>
      </w:r>
    </w:p>
    <w:p w14:paraId="1A5BE24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.1供应商应完整地按谈判文件提供的响应文件格式及要求编写响应文件，具体内容详见</w:t>
      </w:r>
      <w:r>
        <w:rPr>
          <w:rFonts w:hint="eastAsia" w:ascii="仿宋" w:hAnsi="仿宋" w:eastAsia="仿宋" w:cs="仿宋"/>
          <w:color w:val="auto"/>
          <w:sz w:val="24"/>
          <w:highlight w:val="none"/>
          <w:lang w:val="en-US" w:eastAsia="zh-CN"/>
        </w:rPr>
        <w:t>本项目</w:t>
      </w:r>
      <w:r>
        <w:rPr>
          <w:rFonts w:hint="eastAsia" w:ascii="仿宋" w:hAnsi="仿宋" w:eastAsia="仿宋" w:cs="仿宋"/>
          <w:color w:val="auto"/>
          <w:sz w:val="24"/>
          <w:highlight w:val="none"/>
        </w:rPr>
        <w:t>响应文件格式的相关内容。</w:t>
      </w:r>
    </w:p>
    <w:p w14:paraId="6006840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供应商应提交谈判文件要求的证明文件，证明其响应内容符合谈判文件规定。该证明文件是响应文件的一部分。证明文件</w:t>
      </w:r>
      <w:r>
        <w:rPr>
          <w:rFonts w:hint="eastAsia" w:ascii="仿宋" w:hAnsi="仿宋" w:eastAsia="仿宋" w:cs="仿宋"/>
          <w:color w:val="auto"/>
          <w:sz w:val="24"/>
          <w:highlight w:val="none"/>
          <w:lang w:val="en-US" w:eastAsia="zh-CN"/>
        </w:rPr>
        <w:t>形式</w:t>
      </w:r>
      <w:r>
        <w:rPr>
          <w:rFonts w:hint="eastAsia" w:ascii="仿宋" w:hAnsi="仿宋" w:eastAsia="仿宋" w:cs="仿宋"/>
          <w:color w:val="auto"/>
          <w:sz w:val="24"/>
          <w:highlight w:val="none"/>
        </w:rPr>
        <w:t>可以是文字资料、图纸和数据</w:t>
      </w:r>
      <w:bookmarkStart w:id="67" w:name="_Hlk11703583"/>
      <w:r>
        <w:rPr>
          <w:rFonts w:hint="eastAsia" w:ascii="仿宋" w:hAnsi="仿宋" w:eastAsia="仿宋" w:cs="仿宋"/>
          <w:color w:val="auto"/>
          <w:sz w:val="24"/>
          <w:highlight w:val="none"/>
        </w:rPr>
        <w:t>。</w:t>
      </w:r>
    </w:p>
    <w:bookmarkEnd w:id="67"/>
    <w:p w14:paraId="5CB3FB9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w:t>
      </w:r>
      <w:r>
        <w:rPr>
          <w:rFonts w:hint="eastAsia" w:ascii="仿宋" w:hAnsi="仿宋" w:eastAsia="仿宋" w:cs="仿宋"/>
          <w:color w:val="auto"/>
          <w:sz w:val="24"/>
          <w:highlight w:val="none"/>
        </w:rPr>
        <w:t>为保证公平公正，除非谈判文件另有规定或说明，供应商对同一项目谈判时，不得同时提供备选谈判方案。</w:t>
      </w:r>
    </w:p>
    <w:p w14:paraId="68C69698">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.报价</w:t>
      </w:r>
    </w:p>
    <w:p w14:paraId="3A3901E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.1供应商的报价应当包括满足本次谈判全部采购需求所应提供的服务，以及伴随的货物和工程。</w:t>
      </w:r>
      <w:r>
        <w:rPr>
          <w:rFonts w:hint="eastAsia" w:ascii="仿宋" w:hAnsi="仿宋" w:eastAsia="仿宋" w:cs="仿宋"/>
          <w:color w:val="auto"/>
          <w:sz w:val="24"/>
          <w:highlight w:val="none"/>
          <w:lang w:val="en-US" w:eastAsia="zh-CN"/>
        </w:rPr>
        <w:t>除谈判文件另有规定外，</w:t>
      </w:r>
      <w:r>
        <w:rPr>
          <w:rFonts w:hint="eastAsia" w:ascii="仿宋" w:hAnsi="仿宋" w:eastAsia="仿宋" w:cs="仿宋"/>
          <w:color w:val="auto"/>
          <w:sz w:val="24"/>
          <w:highlight w:val="none"/>
        </w:rPr>
        <w:t>所有内容均应以人民币报价，供应商的谈判报价应遵守《中华人民共和国价格法》。</w:t>
      </w:r>
    </w:p>
    <w:p w14:paraId="5712921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.2除非谈判文件另有规定或经采购人同意支付的，最后报价均不得高于谈判文件（公告）列明的项目预算，否则其响应文件将被认定为</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317875F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报价在合同履行过程中是固定不变的，不得以任何理由予以变更。任何包含价格调整要求的谈判，其响应文件将被认定为</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304A32AA">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9.4根据财政部《关于推动解决政府采购异常低价问题的通知》（财库〔2026〕2号），</w:t>
      </w:r>
      <w:r>
        <w:rPr>
          <w:rFonts w:hint="eastAsia" w:ascii="仿宋" w:hAnsi="仿宋" w:eastAsia="仿宋" w:cs="仿宋"/>
          <w:color w:val="auto"/>
          <w:sz w:val="24"/>
          <w:szCs w:val="24"/>
          <w:highlight w:val="none"/>
          <w:lang w:val="en-US" w:eastAsia="zh-CN"/>
        </w:rPr>
        <w:t>评审中出现</w:t>
      </w:r>
      <w:r>
        <w:rPr>
          <w:rFonts w:hint="eastAsia" w:ascii="仿宋" w:hAnsi="仿宋" w:eastAsia="仿宋" w:cs="仿宋"/>
          <w:color w:val="auto"/>
          <w:sz w:val="24"/>
          <w:szCs w:val="24"/>
          <w:highlight w:val="none"/>
          <w:u w:val="single"/>
          <w:lang w:val="en-US" w:eastAsia="zh-CN"/>
        </w:rPr>
        <w:t>供应商须知前附表</w:t>
      </w:r>
      <w:r>
        <w:rPr>
          <w:rFonts w:hint="eastAsia" w:ascii="仿宋" w:hAnsi="仿宋" w:eastAsia="仿宋" w:cs="仿宋"/>
          <w:color w:val="auto"/>
          <w:sz w:val="24"/>
          <w:szCs w:val="24"/>
          <w:highlight w:val="none"/>
          <w:u w:val="none"/>
          <w:lang w:val="en-US" w:eastAsia="zh-CN"/>
        </w:rPr>
        <w:t>所列</w:t>
      </w:r>
      <w:r>
        <w:rPr>
          <w:rFonts w:hint="eastAsia" w:ascii="仿宋" w:hAnsi="仿宋" w:eastAsia="仿宋" w:cs="仿宋"/>
          <w:color w:val="auto"/>
          <w:sz w:val="24"/>
          <w:szCs w:val="24"/>
          <w:highlight w:val="none"/>
          <w:lang w:val="en-US" w:eastAsia="zh-CN"/>
        </w:rPr>
        <w:t>情形之一的</w:t>
      </w:r>
      <w:r>
        <w:rPr>
          <w:rFonts w:hint="eastAsia" w:ascii="仿宋" w:hAnsi="仿宋" w:eastAsia="仿宋" w:cs="仿宋"/>
          <w:color w:val="auto"/>
          <w:sz w:val="24"/>
          <w:highlight w:val="none"/>
          <w:lang w:val="en-US" w:eastAsia="zh-CN"/>
        </w:rPr>
        <w:t>，谈判小组应当启动异常低价响应审查程序。</w:t>
      </w:r>
    </w:p>
    <w:p w14:paraId="2374D860">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谈判小组启动异常低价响应审查后，属于表中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仿宋" w:hAnsi="仿宋" w:eastAsia="仿宋" w:cs="仿宋"/>
          <w:b/>
          <w:bCs/>
          <w:color w:val="auto"/>
          <w:sz w:val="24"/>
          <w:highlight w:val="none"/>
          <w:lang w:val="en-US" w:eastAsia="zh-CN"/>
        </w:rPr>
        <w:t>其中，属于第3项情形，供应商已随响应文件一并提交相关书面说明及必要的证明材料的，在评审现场可不再重复提交。</w:t>
      </w:r>
    </w:p>
    <w:p w14:paraId="7D7043A1">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其响应文件将被认定为</w:t>
      </w:r>
      <w:r>
        <w:rPr>
          <w:rFonts w:hint="eastAsia" w:ascii="仿宋" w:hAnsi="仿宋" w:eastAsia="仿宋" w:cs="仿宋"/>
          <w:b/>
          <w:bCs/>
          <w:color w:val="auto"/>
          <w:sz w:val="24"/>
          <w:highlight w:val="none"/>
          <w:lang w:val="en-US" w:eastAsia="zh-CN"/>
        </w:rPr>
        <w:t>响应无效</w:t>
      </w:r>
      <w:r>
        <w:rPr>
          <w:rFonts w:hint="eastAsia" w:ascii="仿宋" w:hAnsi="仿宋" w:eastAsia="仿宋" w:cs="仿宋"/>
          <w:color w:val="auto"/>
          <w:sz w:val="24"/>
          <w:highlight w:val="none"/>
          <w:lang w:val="en-US" w:eastAsia="zh-CN"/>
        </w:rPr>
        <w:t>。</w:t>
      </w:r>
    </w:p>
    <w:p w14:paraId="4B527E5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采购人不接受具有附加条件的报价。</w:t>
      </w:r>
    </w:p>
    <w:p w14:paraId="72C28491">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rPr>
        <w:t>.谈判保证金</w:t>
      </w:r>
    </w:p>
    <w:p w14:paraId="742E595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.1本项目不收取谈判保证金。</w:t>
      </w:r>
    </w:p>
    <w:p w14:paraId="4505D06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11</w:t>
      </w:r>
      <w:r>
        <w:rPr>
          <w:rFonts w:hint="eastAsia" w:ascii="仿宋" w:hAnsi="仿宋" w:eastAsia="仿宋" w:cs="仿宋"/>
          <w:b/>
          <w:color w:val="auto"/>
          <w:sz w:val="24"/>
          <w:highlight w:val="none"/>
        </w:rPr>
        <w:t>.谈判有效期</w:t>
      </w:r>
    </w:p>
    <w:p w14:paraId="5AEC4A6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.1谈判有效期为从响应文件提交截止之日算起的日历天数，谈判有效期详见</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w:t>
      </w:r>
    </w:p>
    <w:p w14:paraId="41AB661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.2在谈判有效期内，供应商的谈判保持有效，供应商不得要求撤销或修改其响应文件。谈判有效期不满足要求的响应，其响应文件将被认定为</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59EA31A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E560A46">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12</w:t>
      </w:r>
      <w:r>
        <w:rPr>
          <w:rFonts w:hint="eastAsia" w:ascii="仿宋" w:hAnsi="仿宋" w:eastAsia="仿宋" w:cs="仿宋"/>
          <w:b/>
          <w:color w:val="auto"/>
          <w:sz w:val="24"/>
          <w:highlight w:val="none"/>
        </w:rPr>
        <w:t>.响应文件的提交、修改与撤回</w:t>
      </w:r>
    </w:p>
    <w:p w14:paraId="53A2C6D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rPr>
        <w:t>供应商应当在第一章</w:t>
      </w:r>
      <w:r>
        <w:rPr>
          <w:rFonts w:hint="eastAsia" w:ascii="仿宋" w:hAnsi="仿宋" w:eastAsia="仿宋" w:cs="仿宋"/>
          <w:color w:val="auto"/>
          <w:sz w:val="24"/>
          <w:szCs w:val="24"/>
          <w:highlight w:val="none"/>
          <w:lang w:eastAsia="zh-CN"/>
        </w:rPr>
        <w:t>采购邀请</w:t>
      </w:r>
      <w:r>
        <w:rPr>
          <w:rFonts w:hint="eastAsia" w:ascii="仿宋" w:hAnsi="仿宋" w:eastAsia="仿宋" w:cs="仿宋"/>
          <w:color w:val="auto"/>
          <w:sz w:val="24"/>
          <w:szCs w:val="24"/>
          <w:highlight w:val="none"/>
        </w:rPr>
        <w:t>规定的响应文件提交截止时间前，将</w:t>
      </w:r>
      <w:r>
        <w:rPr>
          <w:rFonts w:hint="eastAsia" w:ascii="仿宋" w:hAnsi="仿宋" w:eastAsia="仿宋" w:cs="仿宋"/>
          <w:color w:val="auto"/>
          <w:sz w:val="24"/>
          <w:szCs w:val="24"/>
          <w:highlight w:val="none"/>
          <w:lang w:val="en-US" w:eastAsia="zh-CN"/>
        </w:rPr>
        <w:t>纸质版</w:t>
      </w:r>
      <w:r>
        <w:rPr>
          <w:rFonts w:hint="eastAsia" w:ascii="仿宋" w:hAnsi="仿宋" w:eastAsia="仿宋" w:cs="仿宋"/>
          <w:color w:val="auto"/>
          <w:sz w:val="24"/>
          <w:szCs w:val="24"/>
          <w:highlight w:val="none"/>
        </w:rPr>
        <w:t>响应文件在</w:t>
      </w:r>
      <w:r>
        <w:rPr>
          <w:rFonts w:hint="eastAsia" w:ascii="仿宋" w:hAnsi="仿宋" w:eastAsia="仿宋" w:cs="仿宋"/>
          <w:color w:val="auto"/>
          <w:sz w:val="24"/>
          <w:szCs w:val="24"/>
          <w:highlight w:val="none"/>
          <w:lang w:val="en-US" w:eastAsia="zh-CN"/>
        </w:rPr>
        <w:t>现场提交</w:t>
      </w:r>
      <w:r>
        <w:rPr>
          <w:rFonts w:hint="eastAsia" w:ascii="仿宋" w:hAnsi="仿宋" w:eastAsia="仿宋" w:cs="仿宋"/>
          <w:color w:val="auto"/>
          <w:sz w:val="24"/>
          <w:szCs w:val="24"/>
          <w:highlight w:val="none"/>
        </w:rPr>
        <w:t>。</w:t>
      </w:r>
    </w:p>
    <w:p w14:paraId="1F1B10B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7D5BE8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.谈判小组</w:t>
      </w:r>
    </w:p>
    <w:p w14:paraId="7A57A30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.1本项目将依法组建谈判小组，谈判小组成员由3人以上</w:t>
      </w:r>
      <w:r>
        <w:rPr>
          <w:rFonts w:hint="eastAsia" w:ascii="仿宋" w:hAnsi="仿宋" w:eastAsia="仿宋" w:cs="仿宋"/>
          <w:color w:val="auto"/>
          <w:sz w:val="24"/>
          <w:szCs w:val="24"/>
          <w:highlight w:val="none"/>
        </w:rPr>
        <w:t>（含）</w:t>
      </w:r>
      <w:r>
        <w:rPr>
          <w:rFonts w:hint="eastAsia" w:ascii="仿宋" w:hAnsi="仿宋" w:eastAsia="仿宋" w:cs="仿宋"/>
          <w:color w:val="auto"/>
          <w:sz w:val="24"/>
          <w:highlight w:val="none"/>
        </w:rPr>
        <w:t>单数组成，谈判小组及其成员应当依照政府采购的有关规定履行相关职责和义务。</w:t>
      </w:r>
      <w:r>
        <w:rPr>
          <w:rFonts w:hint="eastAsia" w:ascii="仿宋" w:hAnsi="仿宋" w:eastAsia="仿宋" w:cs="仿宋"/>
          <w:color w:val="auto"/>
          <w:sz w:val="24"/>
          <w:highlight w:val="none"/>
          <w:lang w:val="en-US" w:eastAsia="zh-CN"/>
        </w:rPr>
        <w:t>本项目谈判小组人数：</w:t>
      </w:r>
      <w:r>
        <w:rPr>
          <w:rFonts w:hint="eastAsia" w:ascii="仿宋" w:hAnsi="仿宋" w:eastAsia="仿宋" w:cs="仿宋"/>
          <w:color w:val="auto"/>
          <w:sz w:val="24"/>
          <w:highlight w:val="none"/>
          <w:u w:val="single"/>
          <w:lang w:val="en-US" w:eastAsia="zh-CN"/>
        </w:rPr>
        <w:t>见供应商须知前附表</w:t>
      </w:r>
      <w:r>
        <w:rPr>
          <w:rFonts w:hint="eastAsia" w:ascii="仿宋" w:hAnsi="仿宋" w:eastAsia="仿宋" w:cs="仿宋"/>
          <w:color w:val="auto"/>
          <w:sz w:val="24"/>
          <w:highlight w:val="none"/>
          <w:lang w:val="en-US" w:eastAsia="zh-CN"/>
        </w:rPr>
        <w:t>。</w:t>
      </w:r>
    </w:p>
    <w:p w14:paraId="02C541B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.2谈判小组依法对响应文件进行评审，并根据谈判文件规定的程序、评定成交的标准等事项与实质性响应谈判文件要求的供应商进行谈判。</w:t>
      </w:r>
    </w:p>
    <w:p w14:paraId="4947192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.3谈判小组应当从质量和服务均能满足谈判文件实质性响应要求的供应商中，按照评审方法和标准推荐成交候选人，并编写评审报告。</w:t>
      </w:r>
    </w:p>
    <w:p w14:paraId="45CBB59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.响应文件的评审与谈判</w:t>
      </w:r>
    </w:p>
    <w:p w14:paraId="7CBC106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.1采购人和采购代理机构将在</w:t>
      </w:r>
      <w:r>
        <w:rPr>
          <w:rFonts w:hint="eastAsia" w:ascii="仿宋" w:hAnsi="仿宋" w:eastAsia="仿宋" w:cs="仿宋"/>
          <w:color w:val="auto"/>
          <w:sz w:val="24"/>
          <w:highlight w:val="none"/>
          <w:u w:val="none"/>
          <w:lang w:val="en-US" w:eastAsia="zh-CN"/>
        </w:rPr>
        <w:t>采购邀请</w:t>
      </w:r>
      <w:r>
        <w:rPr>
          <w:rFonts w:hint="eastAsia" w:ascii="仿宋" w:hAnsi="仿宋" w:eastAsia="仿宋" w:cs="仿宋"/>
          <w:color w:val="auto"/>
          <w:sz w:val="24"/>
          <w:highlight w:val="none"/>
        </w:rPr>
        <w:t>规定的时间和地点组织谈判。</w:t>
      </w:r>
    </w:p>
    <w:p w14:paraId="5BC9B5A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 竞争性谈判采用最低评标价法评审。</w:t>
      </w:r>
    </w:p>
    <w:p w14:paraId="1303045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最低评标价法，是指响应文件满足谈判文件全部实质性要求且最后报价最低的供应商为成交候选人的评标方法。</w:t>
      </w:r>
    </w:p>
    <w:p w14:paraId="1E22B01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.3谈判小组将按照谈判文件规定的评审方法和标准对供应商独立进行评审。评审程序如下：</w:t>
      </w:r>
    </w:p>
    <w:p w14:paraId="4E256E2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.3.1</w:t>
      </w:r>
      <w:r>
        <w:rPr>
          <w:rFonts w:hint="eastAsia" w:ascii="仿宋" w:hAnsi="仿宋" w:eastAsia="仿宋" w:cs="仿宋"/>
          <w:b/>
          <w:bCs/>
          <w:color w:val="auto"/>
          <w:sz w:val="24"/>
          <w:highlight w:val="none"/>
        </w:rPr>
        <w:t>初审。</w:t>
      </w:r>
      <w:r>
        <w:rPr>
          <w:rFonts w:hint="eastAsia" w:ascii="仿宋" w:hAnsi="仿宋" w:eastAsia="仿宋" w:cs="仿宋"/>
          <w:color w:val="auto"/>
          <w:sz w:val="24"/>
          <w:szCs w:val="24"/>
          <w:highlight w:val="none"/>
        </w:rPr>
        <w:t>采购人或采购代理机构依据法律法规和</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文件中规定的内容，对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资格进行审查，未通过资格审查的</w:t>
      </w:r>
      <w:r>
        <w:rPr>
          <w:rFonts w:hint="eastAsia" w:ascii="仿宋" w:hAnsi="仿宋" w:eastAsia="仿宋" w:cs="仿宋"/>
          <w:color w:val="auto"/>
          <w:sz w:val="24"/>
          <w:szCs w:val="24"/>
          <w:highlight w:val="none"/>
          <w:lang w:eastAsia="zh-CN"/>
        </w:rPr>
        <w:t>供应商不可参加后续评审</w:t>
      </w:r>
      <w:r>
        <w:rPr>
          <w:rFonts w:hint="eastAsia" w:ascii="仿宋" w:hAnsi="仿宋" w:eastAsia="仿宋" w:cs="仿宋"/>
          <w:color w:val="auto"/>
          <w:sz w:val="24"/>
          <w:szCs w:val="24"/>
          <w:highlight w:val="none"/>
        </w:rPr>
        <w:t>。</w:t>
      </w:r>
    </w:p>
    <w:p w14:paraId="4B7443F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按照《财政部关于在政府采购活动中查询及使用信用记录有关问题的通知》(财库〔2016〕125号)</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的身份共同参加政府采购活动的，应当对所有联合体成员进行信用记录查询，联合体成员之一存在不良信用记录的，视同联合体存在不良信用记录。</w:t>
      </w:r>
    </w:p>
    <w:p w14:paraId="529D899B">
      <w:pPr>
        <w:spacing w:line="360" w:lineRule="auto"/>
        <w:ind w:firstLine="435"/>
        <w:rPr>
          <w:rFonts w:hint="eastAsia" w:ascii="仿宋" w:hAnsi="仿宋" w:eastAsia="仿宋" w:cs="仿宋"/>
          <w:color w:val="auto"/>
          <w:sz w:val="24"/>
          <w:highlight w:val="none"/>
        </w:rPr>
      </w:pPr>
      <w:r>
        <w:rPr>
          <w:rFonts w:hint="eastAsia" w:ascii="仿宋" w:hAnsi="仿宋" w:eastAsia="仿宋" w:cs="仿宋"/>
          <w:strike w:val="0"/>
          <w:dstrike w:val="0"/>
          <w:color w:val="auto"/>
          <w:sz w:val="24"/>
          <w:highlight w:val="none"/>
          <w:lang w:eastAsia="zh-CN"/>
        </w:rPr>
        <w:t>谈判</w:t>
      </w:r>
      <w:r>
        <w:rPr>
          <w:rFonts w:hint="eastAsia" w:ascii="仿宋" w:hAnsi="仿宋" w:eastAsia="仿宋" w:cs="仿宋"/>
          <w:strike w:val="0"/>
          <w:dstrike w:val="0"/>
          <w:color w:val="auto"/>
          <w:sz w:val="24"/>
          <w:highlight w:val="none"/>
        </w:rPr>
        <w:t>小组对供应商必须满足和实质性响应的内容进行评审，供应商未实质性响应</w:t>
      </w:r>
      <w:r>
        <w:rPr>
          <w:rFonts w:hint="eastAsia" w:ascii="仿宋" w:hAnsi="仿宋" w:eastAsia="仿宋" w:cs="仿宋"/>
          <w:strike w:val="0"/>
          <w:dstrike w:val="0"/>
          <w:color w:val="auto"/>
          <w:sz w:val="24"/>
          <w:highlight w:val="none"/>
          <w:lang w:eastAsia="zh-CN"/>
        </w:rPr>
        <w:t>谈判</w:t>
      </w:r>
      <w:r>
        <w:rPr>
          <w:rFonts w:hint="eastAsia" w:ascii="仿宋" w:hAnsi="仿宋" w:eastAsia="仿宋" w:cs="仿宋"/>
          <w:strike w:val="0"/>
          <w:dstrike w:val="0"/>
          <w:color w:val="auto"/>
          <w:sz w:val="24"/>
          <w:highlight w:val="none"/>
        </w:rPr>
        <w:t>文件要求导致响应无效的，</w:t>
      </w:r>
      <w:r>
        <w:rPr>
          <w:rFonts w:hint="eastAsia" w:ascii="仿宋" w:hAnsi="仿宋" w:eastAsia="仿宋" w:cs="仿宋"/>
          <w:strike w:val="0"/>
          <w:dstrike w:val="0"/>
          <w:color w:val="auto"/>
          <w:sz w:val="24"/>
          <w:highlight w:val="none"/>
          <w:lang w:val="en-US" w:eastAsia="zh-CN"/>
        </w:rPr>
        <w:t>不得进入后续评审环节。</w:t>
      </w:r>
    </w:p>
    <w:p w14:paraId="4144927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.3.2</w:t>
      </w:r>
      <w:r>
        <w:rPr>
          <w:rFonts w:hint="eastAsia" w:ascii="仿宋" w:hAnsi="仿宋" w:eastAsia="仿宋" w:cs="仿宋"/>
          <w:b/>
          <w:bCs/>
          <w:color w:val="auto"/>
          <w:sz w:val="24"/>
          <w:highlight w:val="none"/>
        </w:rPr>
        <w:t>谈判。</w:t>
      </w:r>
      <w:r>
        <w:rPr>
          <w:rFonts w:hint="eastAsia" w:ascii="仿宋" w:hAnsi="仿宋" w:eastAsia="仿宋" w:cs="仿宋"/>
          <w:color w:val="auto"/>
          <w:sz w:val="24"/>
          <w:highlight w:val="none"/>
        </w:rPr>
        <w:t>初审合格后，谈判小组将集中与单一供应商分别进行谈判，并给予所有参加谈判的供应商平等的谈判机会。</w:t>
      </w:r>
    </w:p>
    <w:p w14:paraId="7B88F235">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.3.3</w:t>
      </w:r>
      <w:r>
        <w:rPr>
          <w:rFonts w:hint="eastAsia" w:ascii="仿宋" w:hAnsi="仿宋" w:eastAsia="仿宋" w:cs="仿宋"/>
          <w:b/>
          <w:bCs/>
          <w:color w:val="auto"/>
          <w:sz w:val="24"/>
          <w:highlight w:val="none"/>
        </w:rPr>
        <w:t>报价。</w:t>
      </w:r>
      <w:r>
        <w:rPr>
          <w:rFonts w:hint="eastAsia" w:ascii="仿宋" w:hAnsi="仿宋" w:eastAsia="仿宋" w:cs="仿宋"/>
          <w:color w:val="auto"/>
          <w:sz w:val="24"/>
          <w:highlight w:val="none"/>
        </w:rPr>
        <w:t>谈判结束后，谈判小组应当要求所有继续参加谈判的供应商在规定时间内提交最后报价。供应商应在</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小组发出</w:t>
      </w:r>
      <w:r>
        <w:rPr>
          <w:rFonts w:hint="eastAsia" w:ascii="仿宋" w:hAnsi="仿宋" w:eastAsia="仿宋" w:cs="仿宋"/>
          <w:color w:val="auto"/>
          <w:sz w:val="24"/>
          <w:highlight w:val="none"/>
          <w:lang w:val="en-US" w:eastAsia="zh-CN"/>
        </w:rPr>
        <w:t>多轮</w:t>
      </w:r>
      <w:r>
        <w:rPr>
          <w:rFonts w:hint="eastAsia" w:ascii="仿宋" w:hAnsi="仿宋" w:eastAsia="仿宋" w:cs="仿宋"/>
          <w:color w:val="auto"/>
          <w:sz w:val="24"/>
          <w:highlight w:val="none"/>
        </w:rPr>
        <w:t>报价指令后30分钟内</w:t>
      </w:r>
      <w:r>
        <w:rPr>
          <w:rFonts w:hint="eastAsia" w:ascii="仿宋" w:hAnsi="仿宋" w:eastAsia="仿宋" w:cs="仿宋"/>
          <w:color w:val="auto"/>
          <w:sz w:val="24"/>
          <w:szCs w:val="24"/>
          <w:highlight w:val="none"/>
          <w:lang w:val="en-US" w:eastAsia="zh-CN"/>
        </w:rPr>
        <w:t>在现场完成报价</w:t>
      </w:r>
      <w:r>
        <w:rPr>
          <w:rFonts w:hint="eastAsia" w:ascii="仿宋" w:hAnsi="仿宋" w:eastAsia="仿宋" w:cs="仿宋"/>
          <w:color w:val="auto"/>
          <w:sz w:val="24"/>
          <w:highlight w:val="none"/>
          <w:lang w:eastAsia="zh-CN"/>
        </w:rPr>
        <w:t>。</w:t>
      </w:r>
    </w:p>
    <w:p w14:paraId="4DD20392">
      <w:pPr>
        <w:spacing w:line="360" w:lineRule="auto"/>
        <w:ind w:firstLine="43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根据《政府采购非招标采购方式管理办法》（财政部令 第74号）第三十三条规定：“最后报价是供应商响应文件的有效组成部分”，供应商未按要求在规定时间内进行最后报价的，属于响应文件有效组成部分缺失，</w:t>
      </w:r>
      <w:r>
        <w:rPr>
          <w:rFonts w:hint="eastAsia" w:ascii="仿宋" w:hAnsi="仿宋" w:eastAsia="仿宋" w:cs="仿宋"/>
          <w:b/>
          <w:bCs/>
          <w:color w:val="auto"/>
          <w:sz w:val="24"/>
          <w:highlight w:val="none"/>
        </w:rPr>
        <w:t>其响应文件将被认定为响应无效。</w:t>
      </w:r>
    </w:p>
    <w:p w14:paraId="614F08E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.4相关说明。</w:t>
      </w:r>
    </w:p>
    <w:p w14:paraId="74043EB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.4.1为保证谈判活动顺利进行，供应商必须在规定的时间内将自己在</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中作出的澄清、变动以及最终的报价，经供应商</w:t>
      </w:r>
      <w:r>
        <w:rPr>
          <w:rFonts w:hint="eastAsia" w:ascii="仿宋" w:hAnsi="仿宋" w:eastAsia="仿宋" w:cs="仿宋"/>
          <w:color w:val="auto"/>
          <w:sz w:val="24"/>
          <w:szCs w:val="24"/>
          <w:highlight w:val="none"/>
          <w:lang w:val="en-US" w:eastAsia="zh-CN"/>
        </w:rPr>
        <w:t>单位盖章</w:t>
      </w:r>
      <w:r>
        <w:rPr>
          <w:rFonts w:hint="eastAsia" w:ascii="仿宋" w:hAnsi="仿宋" w:eastAsia="仿宋" w:cs="仿宋"/>
          <w:color w:val="auto"/>
          <w:sz w:val="24"/>
          <w:highlight w:val="none"/>
        </w:rPr>
        <w:t>后，以</w:t>
      </w:r>
      <w:r>
        <w:rPr>
          <w:rFonts w:hint="eastAsia" w:ascii="仿宋" w:hAnsi="仿宋" w:eastAsia="仿宋" w:cs="仿宋"/>
          <w:color w:val="auto"/>
          <w:sz w:val="24"/>
          <w:szCs w:val="24"/>
          <w:highlight w:val="none"/>
          <w:lang w:val="en-US" w:eastAsia="zh-CN"/>
        </w:rPr>
        <w:t>书面</w:t>
      </w:r>
      <w:r>
        <w:rPr>
          <w:rFonts w:hint="eastAsia" w:ascii="仿宋" w:hAnsi="仿宋" w:eastAsia="仿宋" w:cs="仿宋"/>
          <w:color w:val="auto"/>
          <w:sz w:val="24"/>
          <w:highlight w:val="none"/>
        </w:rPr>
        <w:t>方式提交给</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小组。</w:t>
      </w:r>
    </w:p>
    <w:p w14:paraId="3AA0186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D5A326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仿宋" w:hAnsi="仿宋" w:eastAsia="仿宋" w:cs="仿宋"/>
          <w:b/>
          <w:color w:val="auto"/>
          <w:sz w:val="24"/>
          <w:highlight w:val="none"/>
        </w:rPr>
        <w:t>响应无效</w:t>
      </w:r>
      <w:r>
        <w:rPr>
          <w:rFonts w:hint="eastAsia" w:ascii="仿宋" w:hAnsi="仿宋" w:eastAsia="仿宋" w:cs="仿宋"/>
          <w:color w:val="auto"/>
          <w:sz w:val="24"/>
          <w:highlight w:val="none"/>
        </w:rPr>
        <w:t>。</w:t>
      </w:r>
    </w:p>
    <w:p w14:paraId="16E343C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.4.4谈判小组决定响应文件的响应性及符合性只根据响应文件本身的内容，而不寻求其他外部证据。</w:t>
      </w:r>
    </w:p>
    <w:p w14:paraId="4E019D2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.5供应商授权代表对谈判过程有疑义，以及认为采购人、采购代理机构相关工作人员有需要回避的情形的，应当场提出询问或者回避申请，并说明理由。 </w:t>
      </w:r>
    </w:p>
    <w:p w14:paraId="2A203DA2">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15</w:t>
      </w:r>
      <w:r>
        <w:rPr>
          <w:rFonts w:hint="eastAsia" w:ascii="仿宋" w:hAnsi="仿宋" w:eastAsia="仿宋" w:cs="仿宋"/>
          <w:b/>
          <w:color w:val="auto"/>
          <w:sz w:val="24"/>
          <w:highlight w:val="none"/>
        </w:rPr>
        <w:t>.终止竞争性谈判</w:t>
      </w:r>
    </w:p>
    <w:p w14:paraId="5943853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.1出现下列情况之一时，采购人和采购代理机构有权宣布终止竞争性谈判采购，并将理由通知所有供应商：</w:t>
      </w:r>
    </w:p>
    <w:p w14:paraId="316FB76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（1）有效供应商数量不足，导致本次谈判缺乏竞争的；</w:t>
      </w:r>
    </w:p>
    <w:p w14:paraId="03E328B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1E594D0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（3）因重大变故，采购任务取消的；</w:t>
      </w:r>
    </w:p>
    <w:p w14:paraId="278A9D2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（4）政府采购法律法规规定的其他情形。</w:t>
      </w:r>
    </w:p>
    <w:p w14:paraId="03C8C36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16</w:t>
      </w:r>
      <w:r>
        <w:rPr>
          <w:rFonts w:hint="eastAsia" w:ascii="仿宋" w:hAnsi="仿宋" w:eastAsia="仿宋" w:cs="仿宋"/>
          <w:b/>
          <w:color w:val="auto"/>
          <w:sz w:val="24"/>
          <w:highlight w:val="none"/>
        </w:rPr>
        <w:t>.响应文件的澄清、说明或更正</w:t>
      </w:r>
    </w:p>
    <w:p w14:paraId="090BA439">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1E548F1">
      <w:pPr>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val="en-US" w:eastAsia="zh-CN"/>
        </w:rPr>
        <w:t>单位盖章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09A1A4E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17</w:t>
      </w:r>
      <w:r>
        <w:rPr>
          <w:rFonts w:hint="eastAsia" w:ascii="仿宋" w:hAnsi="仿宋" w:eastAsia="仿宋" w:cs="仿宋"/>
          <w:b/>
          <w:color w:val="auto"/>
          <w:sz w:val="24"/>
          <w:highlight w:val="none"/>
        </w:rPr>
        <w:t>.最后报价</w:t>
      </w:r>
    </w:p>
    <w:p w14:paraId="1D5F849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.1谈判并不限定只进行二轮报价，如果谈判小组认为有必要，可以要求供应商进行多轮报价。</w:t>
      </w:r>
    </w:p>
    <w:p w14:paraId="1DE73E18">
      <w:pPr>
        <w:spacing w:line="360" w:lineRule="auto"/>
        <w:ind w:firstLine="435"/>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在谈判内容不做实质性变更或重大调整的前提下，供应商下轮报价不得高于上一轮报价。</w:t>
      </w:r>
    </w:p>
    <w:p w14:paraId="1B18196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17.3</w:t>
      </w:r>
      <w:r>
        <w:rPr>
          <w:rFonts w:hint="eastAsia" w:ascii="仿宋" w:hAnsi="仿宋" w:eastAsia="仿宋" w:cs="仿宋"/>
          <w:color w:val="auto"/>
          <w:sz w:val="24"/>
          <w:highlight w:val="none"/>
        </w:rPr>
        <w:t>最后报价是供应商响应文件的有效组成部分，最后报价也是签订合同的依据。</w:t>
      </w:r>
    </w:p>
    <w:p w14:paraId="5E5AC62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17.</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中规定的标准扣除后的价格参与评审。对于同时属于小微企业、监狱企业或残疾人福利性单位的，不重复进行投标报价扣除。</w:t>
      </w:r>
    </w:p>
    <w:p w14:paraId="1EAF169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仿宋" w:hAnsi="仿宋" w:eastAsia="仿宋" w:cs="仿宋"/>
          <w:strike w:val="0"/>
          <w:dstrike w:val="0"/>
          <w:color w:val="auto"/>
          <w:sz w:val="24"/>
          <w:highlight w:val="none"/>
          <w:lang w:val="en-US" w:eastAsia="zh-CN"/>
        </w:rPr>
        <w:t>达到招标文件中规定预留份额的</w:t>
      </w:r>
      <w:r>
        <w:rPr>
          <w:rFonts w:hint="eastAsia" w:ascii="仿宋" w:hAnsi="仿宋" w:eastAsia="仿宋" w:cs="仿宋"/>
          <w:color w:val="auto"/>
          <w:sz w:val="24"/>
          <w:highlight w:val="none"/>
        </w:rPr>
        <w:t>，可给予联合体或者大中型企业的投标报价按照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391428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220EF5B1">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b w:val="0"/>
          <w:i w:val="0"/>
          <w:iCs w:val="0"/>
          <w:color w:val="auto"/>
          <w:sz w:val="24"/>
          <w:szCs w:val="24"/>
          <w:highlight w:val="none"/>
          <w:lang w:val="en-US" w:eastAsia="zh-CN"/>
        </w:rPr>
      </w:pPr>
      <w:r>
        <w:rPr>
          <w:rFonts w:hint="eastAsia" w:ascii="仿宋" w:hAnsi="仿宋" w:eastAsia="仿宋" w:cs="仿宋"/>
          <w:b w:val="0"/>
          <w:i w:val="0"/>
          <w:iCs w:val="0"/>
          <w:color w:val="auto"/>
          <w:sz w:val="24"/>
          <w:szCs w:val="24"/>
          <w:highlight w:val="none"/>
          <w:lang w:val="en-US" w:eastAsia="zh-CN"/>
        </w:rPr>
        <w:t>17.5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b w:val="0"/>
          <w:i w:val="0"/>
          <w:iCs w:val="0"/>
          <w:color w:val="auto"/>
          <w:sz w:val="24"/>
          <w:szCs w:val="24"/>
          <w:highlight w:val="none"/>
          <w:lang w:val="en-US" w:eastAsia="zh-CN"/>
        </w:rPr>
      </w:pPr>
      <w:r>
        <w:rPr>
          <w:rFonts w:hint="eastAsia" w:ascii="仿宋" w:hAnsi="仿宋" w:eastAsia="仿宋" w:cs="仿宋"/>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b w:val="0"/>
          <w:i w:val="0"/>
          <w:iCs w:val="0"/>
          <w:color w:val="auto"/>
          <w:sz w:val="24"/>
          <w:szCs w:val="24"/>
          <w:highlight w:val="none"/>
          <w:lang w:val="en-US" w:eastAsia="zh-CN"/>
        </w:rPr>
      </w:pPr>
      <w:r>
        <w:rPr>
          <w:rFonts w:hint="eastAsia" w:ascii="仿宋" w:hAnsi="仿宋" w:eastAsia="仿宋" w:cs="仿宋"/>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5C33C1">
      <w:pPr>
        <w:spacing w:line="360" w:lineRule="auto"/>
        <w:ind w:firstLine="435"/>
        <w:rPr>
          <w:rFonts w:hint="eastAsia" w:ascii="仿宋" w:hAnsi="仿宋" w:eastAsia="仿宋" w:cs="仿宋"/>
          <w:color w:val="auto"/>
          <w:sz w:val="24"/>
          <w:highlight w:val="none"/>
        </w:rPr>
      </w:pPr>
      <w:r>
        <w:rPr>
          <w:rFonts w:hint="eastAsia" w:ascii="仿宋" w:hAnsi="仿宋" w:eastAsia="仿宋" w:cs="仿宋"/>
          <w:b w:val="0"/>
          <w:i w:val="0"/>
          <w:iCs w:val="0"/>
          <w:color w:val="auto"/>
          <w:sz w:val="24"/>
          <w:szCs w:val="24"/>
          <w:highlight w:val="none"/>
          <w:lang w:val="en-US" w:eastAsia="zh-CN"/>
        </w:rPr>
        <w:t>17.6同时符合17.4和17.5的价格评审优惠时，评标价为投标报价分别扣除促进中小企业发展政策的价格评审优惠和本国产品支持政策的价格评审优惠后的价格。</w:t>
      </w:r>
    </w:p>
    <w:p w14:paraId="189F3678">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18</w:t>
      </w:r>
      <w:r>
        <w:rPr>
          <w:rFonts w:hint="eastAsia" w:ascii="仿宋" w:hAnsi="仿宋" w:eastAsia="仿宋" w:cs="仿宋"/>
          <w:b/>
          <w:color w:val="auto"/>
          <w:sz w:val="24"/>
          <w:highlight w:val="none"/>
        </w:rPr>
        <w:t>.成交候选人的推荐原则及标准</w:t>
      </w:r>
    </w:p>
    <w:p w14:paraId="3AED949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.1谈判小组依据本项目谈判文件所约定的评审方法和标准，按照最后报价由低到高的顺序依次推荐成交候选人。最后报价相同的，则由谈判小组采取随机抽取方式确定。</w:t>
      </w:r>
    </w:p>
    <w:p w14:paraId="3366B24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19</w:t>
      </w:r>
      <w:r>
        <w:rPr>
          <w:rFonts w:hint="eastAsia" w:ascii="仿宋" w:hAnsi="仿宋" w:eastAsia="仿宋" w:cs="仿宋"/>
          <w:b/>
          <w:color w:val="auto"/>
          <w:sz w:val="24"/>
          <w:highlight w:val="none"/>
        </w:rPr>
        <w:t>.确定成交候选人和成交供应商</w:t>
      </w:r>
    </w:p>
    <w:p w14:paraId="68A6A5D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.1 谈判小组按照最后报价由低到高的顺序和</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中规定确定成交候选人，并标明排列顺序。按</w:t>
      </w:r>
      <w:r>
        <w:rPr>
          <w:rFonts w:hint="eastAsia" w:ascii="仿宋" w:hAnsi="仿宋" w:eastAsia="仿宋" w:cs="仿宋"/>
          <w:color w:val="auto"/>
          <w:sz w:val="24"/>
          <w:highlight w:val="none"/>
          <w:u w:val="single"/>
          <w:lang w:val="en-US" w:eastAsia="zh-CN"/>
        </w:rPr>
        <w:t>供应商</w:t>
      </w:r>
      <w:r>
        <w:rPr>
          <w:rFonts w:hint="eastAsia" w:ascii="仿宋" w:hAnsi="仿宋" w:eastAsia="仿宋" w:cs="仿宋"/>
          <w:color w:val="auto"/>
          <w:sz w:val="24"/>
          <w:highlight w:val="none"/>
          <w:u w:val="single"/>
        </w:rPr>
        <w:t>须知前附表</w:t>
      </w:r>
      <w:r>
        <w:rPr>
          <w:rFonts w:hint="eastAsia" w:ascii="仿宋" w:hAnsi="仿宋" w:eastAsia="仿宋" w:cs="仿宋"/>
          <w:color w:val="auto"/>
          <w:sz w:val="24"/>
          <w:highlight w:val="none"/>
        </w:rPr>
        <w:t>中规定，由</w:t>
      </w:r>
      <w:r>
        <w:rPr>
          <w:rFonts w:hint="eastAsia" w:ascii="仿宋" w:hAnsi="仿宋" w:eastAsia="仿宋" w:cs="仿宋"/>
          <w:color w:val="auto"/>
          <w:sz w:val="24"/>
          <w:highlight w:val="none"/>
          <w:lang w:val="en-US" w:eastAsia="zh-CN"/>
        </w:rPr>
        <w:t>谈判小组</w:t>
      </w:r>
      <w:r>
        <w:rPr>
          <w:rFonts w:hint="eastAsia" w:ascii="仿宋" w:hAnsi="仿宋" w:eastAsia="仿宋" w:cs="仿宋"/>
          <w:color w:val="auto"/>
          <w:sz w:val="24"/>
          <w:highlight w:val="none"/>
        </w:rPr>
        <w:t>或采购人确定</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w:t>
      </w:r>
    </w:p>
    <w:p w14:paraId="23D3F7AC">
      <w:pPr>
        <w:spacing w:line="360" w:lineRule="auto"/>
        <w:ind w:firstLine="435"/>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.编写评审报告</w:t>
      </w:r>
    </w:p>
    <w:p w14:paraId="3D4F2F5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77F6ECCC">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.保密要求</w:t>
      </w:r>
    </w:p>
    <w:p w14:paraId="6679D7B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.1评审将在严格保密的情况下进行。</w:t>
      </w:r>
    </w:p>
    <w:p w14:paraId="497D5C8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.2有关人员应当遵守评审工作纪律，不得泄露评审文件、评审情况和评审中获悉的国家秘密、商业秘密。</w:t>
      </w:r>
    </w:p>
    <w:p w14:paraId="4A4F73E2">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27.成交结果公告</w:t>
      </w:r>
    </w:p>
    <w:p w14:paraId="4F4E654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.1谈判结束后，</w:t>
      </w:r>
      <w:r>
        <w:rPr>
          <w:rFonts w:hint="eastAsia" w:ascii="仿宋" w:hAnsi="仿宋" w:eastAsia="仿宋" w:cs="仿宋"/>
          <w:color w:val="auto"/>
          <w:sz w:val="24"/>
          <w:szCs w:val="24"/>
          <w:highlight w:val="none"/>
          <w:lang w:val="en-US" w:eastAsia="zh-CN"/>
        </w:rPr>
        <w:t>采购人及</w:t>
      </w:r>
      <w:r>
        <w:rPr>
          <w:rFonts w:hint="eastAsia" w:ascii="仿宋" w:hAnsi="仿宋" w:eastAsia="仿宋" w:cs="仿宋"/>
          <w:color w:val="auto"/>
          <w:sz w:val="24"/>
          <w:szCs w:val="24"/>
          <w:highlight w:val="none"/>
        </w:rPr>
        <w:t>采购代理机构将在</w:t>
      </w:r>
      <w:r>
        <w:rPr>
          <w:rFonts w:hint="eastAsia" w:ascii="仿宋" w:hAnsi="仿宋" w:eastAsia="仿宋" w:cs="仿宋"/>
          <w:color w:val="auto"/>
          <w:sz w:val="24"/>
          <w:szCs w:val="24"/>
          <w:highlight w:val="none"/>
          <w:lang w:val="en-US" w:eastAsia="zh-CN"/>
        </w:rPr>
        <w:t>发布公告的网站</w:t>
      </w:r>
      <w:r>
        <w:rPr>
          <w:rFonts w:hint="eastAsia" w:ascii="仿宋" w:hAnsi="仿宋" w:eastAsia="仿宋" w:cs="仿宋"/>
          <w:color w:val="auto"/>
          <w:sz w:val="24"/>
          <w:szCs w:val="24"/>
          <w:highlight w:val="none"/>
        </w:rPr>
        <w:t>上发布成交结果公告</w:t>
      </w:r>
      <w:r>
        <w:rPr>
          <w:rFonts w:hint="eastAsia" w:ascii="仿宋" w:hAnsi="仿宋" w:eastAsia="仿宋" w:cs="仿宋"/>
          <w:color w:val="auto"/>
          <w:sz w:val="24"/>
          <w:highlight w:val="none"/>
        </w:rPr>
        <w:t>。</w:t>
      </w:r>
    </w:p>
    <w:p w14:paraId="0ED5D8F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.2成交结果公告内容应当包括采购人及其委托的采购代理机构的名称、地址、联系方式，项目名称和项目编号，成交供应商名称、地址和成交金额，主要成交标的</w:t>
      </w:r>
      <w:r>
        <w:rPr>
          <w:rFonts w:hint="eastAsia" w:ascii="仿宋" w:hAnsi="仿宋" w:eastAsia="仿宋" w:cs="仿宋"/>
          <w:color w:val="auto"/>
          <w:sz w:val="24"/>
          <w:highlight w:val="none"/>
          <w:lang w:val="en-US" w:eastAsia="zh-CN"/>
        </w:rPr>
        <w:t>信息</w:t>
      </w:r>
      <w:r>
        <w:rPr>
          <w:rFonts w:hint="eastAsia" w:ascii="仿宋" w:hAnsi="仿宋" w:eastAsia="仿宋" w:cs="仿宋"/>
          <w:color w:val="auto"/>
          <w:sz w:val="24"/>
          <w:highlight w:val="none"/>
        </w:rPr>
        <w:t>、成交结果公告期限</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进行公告的内容。</w:t>
      </w:r>
    </w:p>
    <w:p w14:paraId="282E911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.成交通知书</w:t>
      </w:r>
    </w:p>
    <w:p w14:paraId="586EF5A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.1采购代理机构发布成交结果公告的同时以</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规定的形式向成交供应商发出成交通知书。</w:t>
      </w:r>
    </w:p>
    <w:p w14:paraId="4E3C936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.2成交通知书对采购人和成交供应商具有同等法律效力。成交通知书发出以后，采购人改变成交结果或者成交供应商放弃成交资格，应当承担相应的法律责任。</w:t>
      </w:r>
    </w:p>
    <w:p w14:paraId="0A23FA3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.3成交通知书是合同的组成部分。</w:t>
      </w:r>
    </w:p>
    <w:p w14:paraId="402CA116">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.告知谈判结果</w:t>
      </w:r>
    </w:p>
    <w:p w14:paraId="64B5A31A">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.1在公告成交结果的同时，采购代理机构同时以</w:t>
      </w:r>
      <w:r>
        <w:rPr>
          <w:rFonts w:hint="eastAsia" w:ascii="仿宋" w:hAnsi="仿宋" w:eastAsia="仿宋" w:cs="仿宋"/>
          <w:color w:val="auto"/>
          <w:sz w:val="24"/>
          <w:szCs w:val="24"/>
          <w:highlight w:val="none"/>
          <w:u w:val="single"/>
        </w:rPr>
        <w:t>供应商须知前附表</w:t>
      </w:r>
      <w:r>
        <w:rPr>
          <w:rFonts w:hint="eastAsia" w:ascii="仿宋" w:hAnsi="仿宋" w:eastAsia="仿宋" w:cs="仿宋"/>
          <w:color w:val="auto"/>
          <w:sz w:val="24"/>
          <w:szCs w:val="24"/>
          <w:highlight w:val="none"/>
        </w:rPr>
        <w:t>规定的形式告知未成交供应商本人的排序。</w:t>
      </w:r>
    </w:p>
    <w:p w14:paraId="10E4419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采购代理机构对未成交的供应商不做未成交原因的解释。</w:t>
      </w:r>
    </w:p>
    <w:p w14:paraId="57069668">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25</w:t>
      </w:r>
      <w:r>
        <w:rPr>
          <w:rFonts w:hint="eastAsia" w:ascii="仿宋" w:hAnsi="仿宋" w:eastAsia="仿宋" w:cs="仿宋"/>
          <w:b/>
          <w:color w:val="auto"/>
          <w:sz w:val="24"/>
          <w:highlight w:val="none"/>
        </w:rPr>
        <w:t>.履约保证金</w:t>
      </w:r>
    </w:p>
    <w:p w14:paraId="18811CD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.1成交供应商应按照</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规定缴纳履约保证金。</w:t>
      </w:r>
    </w:p>
    <w:p w14:paraId="4472787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.2如果成交供应商没有按照上述履约保证金的规定执行，将视为放弃成交资格。在此情况下，采购人可确定下一成交候选人为成交供应商，也可以重新开展采购活动。</w:t>
      </w:r>
    </w:p>
    <w:p w14:paraId="0487904F">
      <w:pPr>
        <w:spacing w:line="360" w:lineRule="auto"/>
        <w:ind w:firstLine="437"/>
        <w:outlineLvl w:val="2"/>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26</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代理费用</w:t>
      </w:r>
    </w:p>
    <w:p w14:paraId="6B92D17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.1本项目</w:t>
      </w:r>
      <w:r>
        <w:rPr>
          <w:rFonts w:hint="eastAsia" w:ascii="仿宋" w:hAnsi="仿宋" w:eastAsia="仿宋" w:cs="仿宋"/>
          <w:color w:val="auto"/>
          <w:sz w:val="24"/>
          <w:highlight w:val="none"/>
          <w:lang w:val="en-US" w:eastAsia="zh-CN"/>
        </w:rPr>
        <w:t>代理费用</w:t>
      </w:r>
      <w:r>
        <w:rPr>
          <w:rFonts w:hint="eastAsia" w:ascii="仿宋" w:hAnsi="仿宋" w:eastAsia="仿宋" w:cs="仿宋"/>
          <w:color w:val="auto"/>
          <w:sz w:val="24"/>
          <w:highlight w:val="none"/>
        </w:rPr>
        <w:t>的收取按</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的规定执行。</w:t>
      </w:r>
    </w:p>
    <w:p w14:paraId="08B7B3F4">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27</w:t>
      </w:r>
      <w:r>
        <w:rPr>
          <w:rFonts w:hint="eastAsia" w:ascii="仿宋" w:hAnsi="仿宋" w:eastAsia="仿宋" w:cs="仿宋"/>
          <w:b/>
          <w:color w:val="auto"/>
          <w:sz w:val="24"/>
          <w:highlight w:val="none"/>
        </w:rPr>
        <w:t>.签订合同</w:t>
      </w:r>
    </w:p>
    <w:p w14:paraId="1708871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u w:val="none"/>
          <w:lang w:val="en-US" w:eastAsia="zh-CN"/>
        </w:rPr>
        <w:t>采购人与成交供应商应当按照</w:t>
      </w:r>
      <w:r>
        <w:rPr>
          <w:rFonts w:hint="eastAsia" w:ascii="仿宋" w:hAnsi="仿宋" w:eastAsia="仿宋" w:cs="仿宋"/>
          <w:color w:val="auto"/>
          <w:sz w:val="24"/>
          <w:szCs w:val="24"/>
          <w:highlight w:val="none"/>
          <w:u w:val="single"/>
          <w:lang w:val="en-US" w:eastAsia="zh-CN"/>
        </w:rPr>
        <w:t>供应商</w:t>
      </w:r>
      <w:r>
        <w:rPr>
          <w:rFonts w:hint="eastAsia" w:ascii="仿宋" w:hAnsi="仿宋" w:eastAsia="仿宋" w:cs="仿宋"/>
          <w:color w:val="auto"/>
          <w:sz w:val="24"/>
          <w:szCs w:val="24"/>
          <w:highlight w:val="none"/>
          <w:u w:val="single"/>
        </w:rPr>
        <w:t>须知前附表</w:t>
      </w:r>
      <w:r>
        <w:rPr>
          <w:rFonts w:hint="eastAsia" w:ascii="仿宋" w:hAnsi="仿宋" w:eastAsia="仿宋" w:cs="仿宋"/>
          <w:color w:val="auto"/>
          <w:sz w:val="24"/>
          <w:szCs w:val="24"/>
          <w:highlight w:val="none"/>
          <w:u w:val="none"/>
        </w:rPr>
        <w:t>规定</w:t>
      </w:r>
      <w:r>
        <w:rPr>
          <w:rFonts w:hint="eastAsia" w:ascii="仿宋" w:hAnsi="仿宋" w:eastAsia="仿宋" w:cs="仿宋"/>
          <w:color w:val="auto"/>
          <w:sz w:val="24"/>
          <w:szCs w:val="24"/>
          <w:highlight w:val="none"/>
          <w:lang w:val="en-US" w:eastAsia="zh-CN"/>
        </w:rPr>
        <w:t>的时间内完成政府采购合同签订及合同公告。</w:t>
      </w:r>
    </w:p>
    <w:p w14:paraId="2613CB2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.2谈判文件、成交供应商的响应文件及其澄清文件等，均为签订合同的依据。</w:t>
      </w:r>
    </w:p>
    <w:p w14:paraId="35B099A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B65BA75">
      <w:pPr>
        <w:spacing w:line="360" w:lineRule="auto"/>
        <w:ind w:firstLine="435"/>
        <w:rPr>
          <w:rFonts w:hint="eastAsia" w:ascii="仿宋" w:hAnsi="仿宋" w:eastAsia="仿宋" w:cs="仿宋"/>
          <w:color w:val="auto"/>
          <w:sz w:val="24"/>
          <w:highlight w:val="none"/>
        </w:rPr>
      </w:pPr>
      <w:bookmarkStart w:id="68" w:name="_Hlk60264926"/>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.4依据《政府采购促进中小企业发展管理办法》（财库〔2020〕46号）规定享受扶持政策获得政府采购合同的，小微企业不得将合同分包给大中型企业，中型企业不得将合同分包给大型企业。</w:t>
      </w:r>
      <w:bookmarkEnd w:id="68"/>
    </w:p>
    <w:p w14:paraId="2E799044">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28</w:t>
      </w:r>
      <w:r>
        <w:rPr>
          <w:rFonts w:hint="eastAsia" w:ascii="仿宋" w:hAnsi="仿宋" w:eastAsia="仿宋" w:cs="仿宋"/>
          <w:b/>
          <w:color w:val="auto"/>
          <w:sz w:val="24"/>
          <w:highlight w:val="none"/>
        </w:rPr>
        <w:t>.廉洁自律规定</w:t>
      </w:r>
    </w:p>
    <w:p w14:paraId="19FC7AC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.1采购代理机构工作人员不得以不正当手段获取政府采购代理业务，不得与采购人、供应商恶意串通。</w:t>
      </w:r>
    </w:p>
    <w:p w14:paraId="2BC374E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.2采购代理机构工作人员不得接受采购人或者供应商组织的宴请、旅游、娱乐，不得收受礼品、现金、有价证券等，不得向采购人或者供应商报销应当由个人承担的费用。</w:t>
      </w:r>
    </w:p>
    <w:p w14:paraId="0AE7930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29</w:t>
      </w:r>
      <w:r>
        <w:rPr>
          <w:rFonts w:hint="eastAsia" w:ascii="仿宋" w:hAnsi="仿宋" w:eastAsia="仿宋" w:cs="仿宋"/>
          <w:b/>
          <w:color w:val="auto"/>
          <w:sz w:val="24"/>
          <w:highlight w:val="none"/>
        </w:rPr>
        <w:t>.质疑的提出与接收</w:t>
      </w:r>
    </w:p>
    <w:p w14:paraId="32338D2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2006D3B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6775BC8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质疑函</w:t>
      </w:r>
      <w:r>
        <w:rPr>
          <w:rFonts w:hint="eastAsia" w:ascii="仿宋" w:hAnsi="仿宋" w:eastAsia="仿宋" w:cs="仿宋"/>
          <w:color w:val="auto"/>
          <w:sz w:val="24"/>
          <w:highlight w:val="none"/>
          <w:lang w:val="en-US" w:eastAsia="zh-CN"/>
        </w:rPr>
        <w:t>递交方式</w:t>
      </w:r>
      <w:r>
        <w:rPr>
          <w:rFonts w:hint="eastAsia" w:ascii="仿宋" w:hAnsi="仿宋" w:eastAsia="仿宋" w:cs="仿宋"/>
          <w:color w:val="auto"/>
          <w:sz w:val="24"/>
          <w:highlight w:val="none"/>
        </w:rPr>
        <w:t>见</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w:t>
      </w:r>
    </w:p>
    <w:p w14:paraId="103A23AE">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30.</w:t>
      </w:r>
      <w:r>
        <w:rPr>
          <w:rFonts w:hint="eastAsia" w:ascii="仿宋" w:hAnsi="仿宋" w:eastAsia="仿宋" w:cs="仿宋"/>
          <w:b/>
          <w:color w:val="auto"/>
          <w:sz w:val="24"/>
          <w:highlight w:val="none"/>
        </w:rPr>
        <w:t>需要补充的其他内容</w:t>
      </w:r>
    </w:p>
    <w:p w14:paraId="21B703A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需要补充的其他内容，见</w:t>
      </w:r>
      <w:r>
        <w:rPr>
          <w:rFonts w:hint="eastAsia" w:ascii="仿宋" w:hAnsi="仿宋" w:eastAsia="仿宋" w:cs="仿宋"/>
          <w:color w:val="auto"/>
          <w:sz w:val="24"/>
          <w:highlight w:val="none"/>
          <w:u w:val="single"/>
        </w:rPr>
        <w:t>供应商须知前附表</w:t>
      </w:r>
      <w:r>
        <w:rPr>
          <w:rFonts w:hint="eastAsia" w:ascii="仿宋" w:hAnsi="仿宋" w:eastAsia="仿宋" w:cs="仿宋"/>
          <w:color w:val="auto"/>
          <w:sz w:val="24"/>
          <w:highlight w:val="none"/>
        </w:rPr>
        <w:t>。</w:t>
      </w:r>
    </w:p>
    <w:p w14:paraId="23EA5C89">
      <w:pPr>
        <w:widowControl/>
        <w:jc w:val="left"/>
        <w:rPr>
          <w:rFonts w:hint="eastAsia" w:ascii="仿宋" w:hAnsi="仿宋" w:eastAsia="仿宋" w:cs="仿宋"/>
          <w:b/>
          <w:color w:val="auto"/>
          <w:sz w:val="28"/>
          <w:highlight w:val="none"/>
        </w:rPr>
      </w:pPr>
      <w:r>
        <w:rPr>
          <w:rFonts w:hint="eastAsia" w:ascii="仿宋" w:hAnsi="仿宋" w:eastAsia="仿宋" w:cs="仿宋"/>
          <w:color w:val="auto"/>
          <w:sz w:val="24"/>
          <w:highlight w:val="none"/>
        </w:rPr>
        <w:br w:type="page"/>
      </w:r>
    </w:p>
    <w:p w14:paraId="151BB10F">
      <w:pPr>
        <w:spacing w:line="360" w:lineRule="auto"/>
        <w:jc w:val="center"/>
        <w:outlineLvl w:val="0"/>
        <w:rPr>
          <w:rFonts w:hint="eastAsia" w:ascii="仿宋" w:hAnsi="仿宋" w:eastAsia="仿宋" w:cs="仿宋"/>
          <w:b/>
          <w:color w:val="auto"/>
          <w:sz w:val="28"/>
          <w:highlight w:val="none"/>
        </w:rPr>
      </w:pPr>
      <w:bookmarkStart w:id="69" w:name="_Toc12846"/>
      <w:r>
        <w:rPr>
          <w:rFonts w:hint="eastAsia" w:ascii="仿宋" w:hAnsi="仿宋" w:eastAsia="仿宋" w:cs="仿宋"/>
          <w:b/>
          <w:color w:val="auto"/>
          <w:sz w:val="28"/>
          <w:highlight w:val="none"/>
        </w:rPr>
        <w:t>第三章  采购需求</w:t>
      </w:r>
      <w:bookmarkEnd w:id="69"/>
    </w:p>
    <w:p w14:paraId="38E050D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前注：</w:t>
      </w:r>
    </w:p>
    <w:p w14:paraId="7930D262">
      <w:pPr>
        <w:spacing w:line="360" w:lineRule="auto"/>
        <w:ind w:firstLine="435"/>
        <w:rPr>
          <w:rFonts w:hint="eastAsia" w:ascii="仿宋" w:hAnsi="仿宋" w:eastAsia="仿宋" w:cs="仿宋"/>
          <w:color w:val="auto"/>
          <w:sz w:val="24"/>
          <w:szCs w:val="24"/>
          <w:highlight w:val="none"/>
        </w:rPr>
      </w:pPr>
      <w:bookmarkStart w:id="70" w:name="_Toc4514"/>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本采购需求中提出的服务方案仅为参考，如无明确限制，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可以进行优化，提供满足采购人实际需要的更优（或者性能实质上不低于的）服务方案，且此方案须经</w:t>
      </w:r>
      <w:r>
        <w:rPr>
          <w:rFonts w:hint="eastAsia" w:ascii="仿宋" w:hAnsi="仿宋" w:eastAsia="仿宋" w:cs="仿宋"/>
          <w:color w:val="auto"/>
          <w:sz w:val="24"/>
          <w:szCs w:val="24"/>
          <w:highlight w:val="none"/>
          <w:lang w:eastAsia="zh-CN"/>
        </w:rPr>
        <w:t>谈判小组</w:t>
      </w:r>
      <w:r>
        <w:rPr>
          <w:rFonts w:hint="eastAsia" w:ascii="仿宋" w:hAnsi="仿宋" w:eastAsia="仿宋" w:cs="仿宋"/>
          <w:color w:val="auto"/>
          <w:sz w:val="24"/>
          <w:szCs w:val="24"/>
          <w:highlight w:val="none"/>
        </w:rPr>
        <w:t>评审认可。</w:t>
      </w:r>
    </w:p>
    <w:p w14:paraId="344FDC39">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24"/>
          <w:highlight w:val="none"/>
        </w:rPr>
        <w:t>2.政府采购政策（包括但不限于下列具体政策要求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AA72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（1）如属于《节能产品政府采购品目清单》中政府强制采购的节能产品，则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所投产品须具有市场监管总局公布的《参与实施政府采购节能产品认证机构目录》中的认证机构出具的、处于有效期内的节能产品认证证书。</w:t>
      </w:r>
    </w:p>
    <w:p w14:paraId="21F18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（2）如涉及商品包装和快递包装，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0CC4B80">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3.如采购人允许采用分包方式履行合同的，应当明确可以分包履行的相关内容。</w:t>
      </w:r>
    </w:p>
    <w:p w14:paraId="37D6DA27">
      <w:pPr>
        <w:spacing w:line="360" w:lineRule="auto"/>
        <w:ind w:firstLine="437"/>
        <w:outlineLvl w:val="1"/>
        <w:rPr>
          <w:rFonts w:hint="eastAsia" w:ascii="仿宋" w:hAnsi="仿宋" w:eastAsia="仿宋" w:cs="仿宋"/>
          <w:b/>
          <w:color w:val="auto"/>
          <w:sz w:val="24"/>
          <w:szCs w:val="18"/>
          <w:highlight w:val="none"/>
        </w:rPr>
      </w:pPr>
      <w:bookmarkStart w:id="71" w:name="_Toc24918"/>
      <w:r>
        <w:rPr>
          <w:rFonts w:hint="eastAsia" w:ascii="仿宋" w:hAnsi="仿宋" w:eastAsia="仿宋" w:cs="仿宋"/>
          <w:b/>
          <w:color w:val="auto"/>
          <w:sz w:val="24"/>
          <w:szCs w:val="18"/>
          <w:highlight w:val="none"/>
        </w:rPr>
        <w:t>一、采购需求前附表</w:t>
      </w:r>
      <w:bookmarkEnd w:id="70"/>
      <w:bookmarkEnd w:id="71"/>
    </w:p>
    <w:tbl>
      <w:tblPr>
        <w:tblStyle w:val="16"/>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747"/>
        <w:gridCol w:w="1513"/>
        <w:gridCol w:w="7668"/>
      </w:tblGrid>
      <w:tr w14:paraId="6A72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7" w:hRule="atLeast"/>
          <w:jc w:val="center"/>
        </w:trPr>
        <w:tc>
          <w:tcPr>
            <w:tcW w:w="376" w:type="pct"/>
            <w:vAlign w:val="center"/>
          </w:tcPr>
          <w:p w14:paraId="5381EE45">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highlight w:val="none"/>
              </w:rPr>
            </w:pPr>
            <w:bookmarkStart w:id="72" w:name="_Toc12926"/>
            <w:bookmarkStart w:id="73" w:name="_Toc9389"/>
            <w:bookmarkStart w:id="74" w:name="_Hlk16461016"/>
            <w:r>
              <w:rPr>
                <w:rFonts w:hint="eastAsia" w:ascii="仿宋" w:hAnsi="仿宋" w:eastAsia="仿宋" w:cs="仿宋"/>
                <w:b/>
                <w:color w:val="auto"/>
                <w:kern w:val="2"/>
                <w:highlight w:val="none"/>
              </w:rPr>
              <w:t>序号</w:t>
            </w:r>
          </w:p>
        </w:tc>
        <w:tc>
          <w:tcPr>
            <w:tcW w:w="762" w:type="pct"/>
            <w:vAlign w:val="center"/>
          </w:tcPr>
          <w:p w14:paraId="06C5F5F7">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条款名称</w:t>
            </w:r>
          </w:p>
        </w:tc>
        <w:tc>
          <w:tcPr>
            <w:tcW w:w="3861" w:type="pct"/>
            <w:vAlign w:val="center"/>
          </w:tcPr>
          <w:p w14:paraId="4C49C1E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内容、说明与要求</w:t>
            </w:r>
          </w:p>
        </w:tc>
      </w:tr>
      <w:tr w14:paraId="7E5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7DC51C44">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w:t>
            </w:r>
          </w:p>
        </w:tc>
        <w:tc>
          <w:tcPr>
            <w:tcW w:w="762" w:type="pct"/>
            <w:vAlign w:val="center"/>
          </w:tcPr>
          <w:p w14:paraId="345358AA">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付款方式</w:t>
            </w:r>
          </w:p>
        </w:tc>
        <w:tc>
          <w:tcPr>
            <w:tcW w:w="3861" w:type="pct"/>
            <w:vAlign w:val="center"/>
          </w:tcPr>
          <w:p w14:paraId="765861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提交完整清查资料及正式清查报告，经确认合格后，按成交价格、据实结算支付。</w:t>
            </w:r>
          </w:p>
          <w:p w14:paraId="3B6CFE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rPr>
              <w:t>（供应商提交的响应文件中如有关于付款条件的表述与</w:t>
            </w:r>
            <w:r>
              <w:rPr>
                <w:rFonts w:hint="eastAsia" w:ascii="仿宋" w:hAnsi="仿宋" w:eastAsia="仿宋" w:cs="仿宋"/>
                <w:b w:val="0"/>
                <w:bCs w:val="0"/>
                <w:color w:val="auto"/>
                <w:sz w:val="24"/>
                <w:highlight w:val="none"/>
                <w:lang w:eastAsia="zh-CN"/>
              </w:rPr>
              <w:t>谈判</w:t>
            </w:r>
            <w:r>
              <w:rPr>
                <w:rFonts w:hint="eastAsia" w:ascii="仿宋" w:hAnsi="仿宋" w:eastAsia="仿宋" w:cs="仿宋"/>
                <w:b w:val="0"/>
                <w:bCs w:val="0"/>
                <w:color w:val="auto"/>
                <w:sz w:val="24"/>
                <w:highlight w:val="none"/>
              </w:rPr>
              <w:t>文件规定不符，将被视为实质性不响应，将导致</w:t>
            </w:r>
            <w:r>
              <w:rPr>
                <w:rFonts w:hint="eastAsia" w:ascii="仿宋" w:hAnsi="仿宋" w:eastAsia="仿宋" w:cs="仿宋"/>
                <w:b/>
                <w:bCs/>
                <w:color w:val="auto"/>
                <w:sz w:val="24"/>
                <w:highlight w:val="none"/>
              </w:rPr>
              <w:t>响应无效</w:t>
            </w:r>
            <w:r>
              <w:rPr>
                <w:rFonts w:hint="eastAsia" w:ascii="仿宋" w:hAnsi="仿宋" w:eastAsia="仿宋" w:cs="仿宋"/>
                <w:b w:val="0"/>
                <w:bCs w:val="0"/>
                <w:color w:val="auto"/>
                <w:sz w:val="24"/>
                <w:highlight w:val="none"/>
              </w:rPr>
              <w:t>）</w:t>
            </w:r>
          </w:p>
        </w:tc>
      </w:tr>
      <w:tr w14:paraId="4631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8" w:hRule="atLeast"/>
          <w:jc w:val="center"/>
        </w:trPr>
        <w:tc>
          <w:tcPr>
            <w:tcW w:w="376" w:type="pct"/>
            <w:vAlign w:val="center"/>
          </w:tcPr>
          <w:p w14:paraId="4AE19C35">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w:t>
            </w:r>
          </w:p>
        </w:tc>
        <w:tc>
          <w:tcPr>
            <w:tcW w:w="762" w:type="pct"/>
            <w:vAlign w:val="center"/>
          </w:tcPr>
          <w:p w14:paraId="0428C04F">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服务地点</w:t>
            </w:r>
          </w:p>
        </w:tc>
        <w:tc>
          <w:tcPr>
            <w:tcW w:w="3861" w:type="pct"/>
            <w:vAlign w:val="center"/>
          </w:tcPr>
          <w:p w14:paraId="0940D2BE">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仿宋" w:hAnsi="仿宋" w:eastAsia="仿宋" w:cs="仿宋"/>
                <w:b w:val="0"/>
                <w:color w:val="auto"/>
                <w:sz w:val="24"/>
                <w:highlight w:val="none"/>
                <w:lang w:val="en-US" w:eastAsia="zh-CN"/>
              </w:rPr>
            </w:pPr>
            <w:r>
              <w:rPr>
                <w:rFonts w:hint="eastAsia" w:ascii="仿宋" w:hAnsi="仿宋" w:eastAsia="仿宋" w:cs="仿宋"/>
                <w:b w:val="0"/>
                <w:color w:val="auto"/>
                <w:sz w:val="24"/>
                <w:highlight w:val="none"/>
                <w:lang w:val="en-US" w:eastAsia="zh-CN"/>
              </w:rPr>
              <w:t>六安市境内</w:t>
            </w:r>
          </w:p>
        </w:tc>
      </w:tr>
      <w:tr w14:paraId="6FB2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61" w:hRule="atLeast"/>
          <w:jc w:val="center"/>
        </w:trPr>
        <w:tc>
          <w:tcPr>
            <w:tcW w:w="376" w:type="pct"/>
            <w:vAlign w:val="center"/>
          </w:tcPr>
          <w:p w14:paraId="644338FB">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w:t>
            </w:r>
          </w:p>
        </w:tc>
        <w:tc>
          <w:tcPr>
            <w:tcW w:w="762" w:type="pct"/>
            <w:vAlign w:val="center"/>
          </w:tcPr>
          <w:p w14:paraId="71CF46E7">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服务期限</w:t>
            </w:r>
          </w:p>
        </w:tc>
        <w:tc>
          <w:tcPr>
            <w:tcW w:w="3861" w:type="pct"/>
            <w:vAlign w:val="center"/>
          </w:tcPr>
          <w:p w14:paraId="69FB243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val="en-US" w:eastAsia="zh-CN"/>
              </w:rPr>
              <w:t>自合同签订起到2026年6月25日止。</w:t>
            </w:r>
          </w:p>
        </w:tc>
      </w:tr>
      <w:tr w14:paraId="3C4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2D88A1DC">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4</w:t>
            </w:r>
          </w:p>
        </w:tc>
        <w:tc>
          <w:tcPr>
            <w:tcW w:w="762" w:type="pct"/>
            <w:vAlign w:val="center"/>
          </w:tcPr>
          <w:p w14:paraId="66DCF45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本项目采购标的名称及所属行业</w:t>
            </w:r>
          </w:p>
        </w:tc>
        <w:tc>
          <w:tcPr>
            <w:tcW w:w="3861" w:type="pct"/>
            <w:vAlign w:val="center"/>
          </w:tcPr>
          <w:p w14:paraId="160F43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rPr>
              <w:t>包：</w:t>
            </w:r>
          </w:p>
          <w:p w14:paraId="2CF915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标的名称：</w:t>
            </w:r>
            <w:r>
              <w:rPr>
                <w:rFonts w:hint="eastAsia" w:ascii="仿宋" w:hAnsi="仿宋" w:eastAsia="仿宋" w:cs="仿宋"/>
                <w:color w:val="auto"/>
                <w:sz w:val="24"/>
                <w:szCs w:val="24"/>
                <w:highlight w:val="none"/>
              </w:rPr>
              <w:t>六安市城管局局属涉改单位资产清查第三方服务</w:t>
            </w:r>
            <w:r>
              <w:rPr>
                <w:rFonts w:hint="eastAsia" w:ascii="仿宋" w:hAnsi="仿宋" w:eastAsia="仿宋" w:cs="仿宋"/>
                <w:color w:val="auto"/>
                <w:sz w:val="24"/>
                <w:szCs w:val="24"/>
                <w:highlight w:val="none"/>
                <w:lang w:val="en-US" w:eastAsia="zh-CN"/>
              </w:rPr>
              <w:t>采购项目第1包</w:t>
            </w:r>
          </w:p>
          <w:p w14:paraId="70208A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所属行业：</w:t>
            </w:r>
            <w:r>
              <w:rPr>
                <w:rFonts w:hint="eastAsia" w:ascii="仿宋" w:hAnsi="仿宋" w:eastAsia="仿宋" w:cs="仿宋"/>
                <w:color w:val="auto"/>
                <w:sz w:val="24"/>
                <w:highlight w:val="none"/>
                <w:lang w:val="en-US" w:eastAsia="zh-CN"/>
              </w:rPr>
              <w:t>其他未列明行业</w:t>
            </w:r>
          </w:p>
          <w:p w14:paraId="51A58F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rPr>
              <w:t>包：</w:t>
            </w:r>
          </w:p>
          <w:p w14:paraId="44839D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标的名称：</w:t>
            </w:r>
            <w:r>
              <w:rPr>
                <w:rFonts w:hint="eastAsia" w:ascii="仿宋" w:hAnsi="仿宋" w:eastAsia="仿宋" w:cs="仿宋"/>
                <w:color w:val="auto"/>
                <w:sz w:val="24"/>
                <w:szCs w:val="24"/>
                <w:highlight w:val="none"/>
              </w:rPr>
              <w:t>六安市城管局局属涉改单位资产清查第三方服务</w:t>
            </w:r>
            <w:r>
              <w:rPr>
                <w:rFonts w:hint="eastAsia" w:ascii="仿宋" w:hAnsi="仿宋" w:eastAsia="仿宋" w:cs="仿宋"/>
                <w:color w:val="auto"/>
                <w:sz w:val="24"/>
                <w:szCs w:val="24"/>
                <w:highlight w:val="none"/>
                <w:lang w:val="en-US" w:eastAsia="zh-CN"/>
              </w:rPr>
              <w:t>采购项目第2包</w:t>
            </w:r>
          </w:p>
          <w:p w14:paraId="32426B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所属行业：</w:t>
            </w:r>
            <w:r>
              <w:rPr>
                <w:rFonts w:hint="eastAsia" w:ascii="仿宋" w:hAnsi="仿宋" w:eastAsia="仿宋" w:cs="仿宋"/>
                <w:color w:val="auto"/>
                <w:sz w:val="24"/>
                <w:highlight w:val="none"/>
                <w:lang w:val="en-US" w:eastAsia="zh-CN"/>
              </w:rPr>
              <w:t>其他未列明行业</w:t>
            </w:r>
          </w:p>
          <w:p w14:paraId="445E9F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rPr>
              <w:t>包：</w:t>
            </w:r>
          </w:p>
          <w:p w14:paraId="3529A8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标的名称：</w:t>
            </w:r>
            <w:r>
              <w:rPr>
                <w:rFonts w:hint="eastAsia" w:ascii="仿宋" w:hAnsi="仿宋" w:eastAsia="仿宋" w:cs="仿宋"/>
                <w:color w:val="auto"/>
                <w:sz w:val="24"/>
                <w:szCs w:val="24"/>
                <w:highlight w:val="none"/>
              </w:rPr>
              <w:t>六安市城管局局属涉改单位资产清查第三方服务</w:t>
            </w:r>
            <w:r>
              <w:rPr>
                <w:rFonts w:hint="eastAsia" w:ascii="仿宋" w:hAnsi="仿宋" w:eastAsia="仿宋" w:cs="仿宋"/>
                <w:color w:val="auto"/>
                <w:sz w:val="24"/>
                <w:szCs w:val="24"/>
                <w:highlight w:val="none"/>
                <w:lang w:val="en-US" w:eastAsia="zh-CN"/>
              </w:rPr>
              <w:t>采购项目第3包</w:t>
            </w:r>
          </w:p>
          <w:p w14:paraId="28FCAC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所属行业：</w:t>
            </w:r>
            <w:r>
              <w:rPr>
                <w:rFonts w:hint="eastAsia" w:ascii="仿宋" w:hAnsi="仿宋" w:eastAsia="仿宋" w:cs="仿宋"/>
                <w:color w:val="auto"/>
                <w:sz w:val="24"/>
                <w:highlight w:val="none"/>
                <w:lang w:val="en-US" w:eastAsia="zh-CN"/>
              </w:rPr>
              <w:t>其他未列明行业</w:t>
            </w:r>
          </w:p>
        </w:tc>
      </w:tr>
      <w:bookmarkEnd w:id="72"/>
      <w:bookmarkEnd w:id="73"/>
    </w:tbl>
    <w:p w14:paraId="13B79820">
      <w:pPr>
        <w:spacing w:line="360" w:lineRule="auto"/>
        <w:ind w:firstLine="435"/>
        <w:rPr>
          <w:rFonts w:hint="eastAsia" w:ascii="仿宋" w:hAnsi="仿宋" w:eastAsia="仿宋" w:cs="仿宋"/>
          <w:color w:val="auto"/>
          <w:sz w:val="24"/>
          <w:szCs w:val="24"/>
          <w:highlight w:val="none"/>
        </w:rPr>
      </w:pPr>
    </w:p>
    <w:p w14:paraId="59E8B4F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一、项目概况</w:t>
      </w:r>
    </w:p>
    <w:p w14:paraId="508F2214">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为深入落实市委、市政府机构改革工作部署，严格执行《行政事业性国有资产管理条例》（国务院令第738号），规范国有资产监管秩序，厘清局属涉改单位资产底数、权属状况、账务现状，防范国有资产流失，保障机构改革平稳有序推进，经对接市财政局同意，拟通过谈判方式聘请第三方专业机构，对我局多家涉改单位开展全面资产清查专项工作。</w:t>
      </w:r>
    </w:p>
    <w:p w14:paraId="12B7719E">
      <w:pPr>
        <w:spacing w:line="360" w:lineRule="auto"/>
        <w:ind w:firstLine="43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本次清查涉及单位共6家，分别三个包及最高限价：</w:t>
      </w:r>
    </w:p>
    <w:p w14:paraId="19D3C8C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1包：2.5万元（六安市城区新老淠河综合管理处2万元、市物业管理指导中心0.5万元）；</w:t>
      </w:r>
    </w:p>
    <w:p w14:paraId="2455DE6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2包：1.5万元（市给排水管理处0.5万元、市排水公司1万元）；</w:t>
      </w:r>
    </w:p>
    <w:p w14:paraId="6EB3D4E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3包：2.4万元（市自来水公司及其控股子公司0.9万元、供水工程公司0.9万元、新城水务公司0.6万元）。</w:t>
      </w:r>
    </w:p>
    <w:p w14:paraId="5A16009A">
      <w:pPr>
        <w:spacing w:line="360" w:lineRule="auto"/>
        <w:ind w:firstLine="43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二、服务内容</w:t>
      </w:r>
      <w:r>
        <w:rPr>
          <w:rFonts w:hint="eastAsia" w:ascii="仿宋" w:hAnsi="仿宋" w:eastAsia="仿宋" w:cs="仿宋"/>
          <w:color w:val="auto"/>
          <w:sz w:val="24"/>
          <w:szCs w:val="24"/>
          <w:highlight w:val="none"/>
          <w:lang w:eastAsia="zh-CN"/>
        </w:rPr>
        <w:t>及要求</w:t>
      </w:r>
    </w:p>
    <w:p w14:paraId="3A421DB7">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（一）服务内容：</w:t>
      </w:r>
      <w:r>
        <w:rPr>
          <w:rFonts w:hint="eastAsia" w:ascii="仿宋" w:hAnsi="仿宋" w:eastAsia="仿宋" w:cs="仿宋"/>
          <w:b w:val="0"/>
          <w:color w:val="auto"/>
          <w:sz w:val="24"/>
          <w:highlight w:val="none"/>
          <w:lang w:val="en-US" w:eastAsia="zh-CN"/>
        </w:rPr>
        <w:t>自合同签订起到2026年6月25日止</w:t>
      </w:r>
      <w:r>
        <w:rPr>
          <w:rFonts w:hint="eastAsia" w:ascii="仿宋" w:hAnsi="仿宋" w:eastAsia="仿宋" w:cs="仿宋"/>
          <w:color w:val="auto"/>
          <w:sz w:val="24"/>
          <w:szCs w:val="24"/>
          <w:highlight w:val="none"/>
          <w:lang w:val="en-US" w:eastAsia="zh-CN"/>
        </w:rPr>
        <w:t>，服务商须对各涉改单位开展全面资产清查专项审计及盘点核查，覆盖资产、负债、账务、权属、存量、在用、闲置、报废、历史遗留问题等全部内容，具体服务内容如下：</w:t>
      </w:r>
    </w:p>
    <w:p w14:paraId="40BBCE43">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1、全面核查各单位固定资产、无形资产、流动资产、对外投资、公共基础设施、保障性资产、经营性资产等全部国有资产；</w:t>
      </w:r>
    </w:p>
    <w:p w14:paraId="67F75408">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2、逐项核对资产台账、财务账面数据、实物现状，核实账账、账证、账实差异；</w:t>
      </w:r>
    </w:p>
    <w:p w14:paraId="42F74C58">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3、梳理资产权属、抵押担保、出租出借、闲置低效、待报废资产情况；</w:t>
      </w:r>
    </w:p>
    <w:p w14:paraId="7FAE1D06">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4、核查历史遗留资产问题、长期挂账、未确权、账外资产等往来账款情况；</w:t>
      </w:r>
    </w:p>
    <w:p w14:paraId="7922E2F1">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5、按单位分别形成清查底稿、清查明细表、差异说明、问题清单；</w:t>
      </w:r>
    </w:p>
    <w:p w14:paraId="538A025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6、出具规范、完整、可用于机构改革、国资备案、财政核查的资产清查专项报告。</w:t>
      </w:r>
    </w:p>
    <w:p w14:paraId="08FC2582">
      <w:pPr>
        <w:spacing w:line="360" w:lineRule="auto"/>
        <w:ind w:firstLine="43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（二）服务要求</w:t>
      </w:r>
    </w:p>
    <w:p w14:paraId="6C7AF90B">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1、严格按照《行政事业性国有资产管理条例》及财政资产清查规范开展工作，数据真实、依据充分、结论合规；</w:t>
      </w:r>
    </w:p>
    <w:p w14:paraId="658A7731">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2、按期完成现场盘点、账务核对、问题梳理、资料归档、报告编制等全部工作；</w:t>
      </w:r>
    </w:p>
    <w:p w14:paraId="709DBE7E">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3、对清查发现的账实不符、权属不清、闲置低效、历史遗留问题逐一列明，提出规范整改建议；</w:t>
      </w:r>
    </w:p>
    <w:p w14:paraId="28111CA9">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4、最终成果须满足机构改革、国资备案、财政核查、资产划转等工作使用要求；</w:t>
      </w:r>
    </w:p>
    <w:p w14:paraId="05DCD167">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5、全程配合主管部门、财政部门答疑、复核、整改、资料补报等后续工作。</w:t>
      </w:r>
    </w:p>
    <w:p w14:paraId="36A703DF">
      <w:pPr>
        <w:spacing w:line="360" w:lineRule="auto"/>
        <w:ind w:firstLine="43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三、服务期限及付款方式</w:t>
      </w:r>
    </w:p>
    <w:p w14:paraId="4E0AF4D9">
      <w:pPr>
        <w:spacing w:line="360" w:lineRule="auto"/>
        <w:ind w:firstLine="435"/>
        <w:rPr>
          <w:rFonts w:hint="eastAsia" w:ascii="仿宋" w:hAnsi="仿宋" w:eastAsia="仿宋" w:cs="仿宋"/>
          <w:b w:val="0"/>
          <w:color w:val="auto"/>
          <w:sz w:val="24"/>
          <w:highlight w:val="none"/>
          <w:lang w:val="en-US" w:eastAsia="zh-CN"/>
        </w:rPr>
      </w:pP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b w:val="0"/>
          <w:color w:val="auto"/>
          <w:sz w:val="24"/>
          <w:highlight w:val="none"/>
          <w:lang w:val="en-US" w:eastAsia="zh-CN"/>
        </w:rPr>
        <w:t>自合同签订起到2026年6月25日止。</w:t>
      </w:r>
    </w:p>
    <w:p w14:paraId="1407B926">
      <w:pPr>
        <w:spacing w:line="360" w:lineRule="auto"/>
        <w:ind w:firstLine="43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付款方式：提交完整清查资料及正式清查报告，经确认合格后，按成交价格、据实结算支付。</w:t>
      </w:r>
    </w:p>
    <w:p w14:paraId="28CCDC3D">
      <w:pPr>
        <w:spacing w:line="360" w:lineRule="auto"/>
        <w:rPr>
          <w:rFonts w:hint="eastAsia" w:ascii="仿宋" w:hAnsi="仿宋" w:eastAsia="仿宋" w:cs="仿宋"/>
          <w:b/>
          <w:color w:val="auto"/>
          <w:sz w:val="24"/>
          <w:szCs w:val="18"/>
          <w:highlight w:val="none"/>
        </w:rPr>
      </w:pPr>
    </w:p>
    <w:bookmarkEnd w:id="74"/>
    <w:p w14:paraId="1156C927">
      <w:pPr>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75" w:name="_Toc23236"/>
      <w:r>
        <w:rPr>
          <w:rFonts w:hint="eastAsia" w:ascii="仿宋" w:hAnsi="仿宋" w:eastAsia="仿宋" w:cs="仿宋"/>
          <w:b/>
          <w:color w:val="auto"/>
          <w:sz w:val="28"/>
          <w:highlight w:val="none"/>
        </w:rPr>
        <w:t>第四章  评审方法和标准</w:t>
      </w:r>
      <w:bookmarkEnd w:id="75"/>
    </w:p>
    <w:p w14:paraId="29572436">
      <w:pPr>
        <w:spacing w:line="360" w:lineRule="auto"/>
        <w:ind w:firstLine="437"/>
        <w:outlineLvl w:val="1"/>
        <w:rPr>
          <w:rFonts w:hint="eastAsia" w:ascii="仿宋" w:hAnsi="仿宋" w:eastAsia="仿宋" w:cs="仿宋"/>
          <w:b/>
          <w:color w:val="auto"/>
          <w:sz w:val="24"/>
          <w:highlight w:val="none"/>
        </w:rPr>
      </w:pPr>
      <w:bookmarkStart w:id="76" w:name="_Toc20577"/>
      <w:bookmarkStart w:id="77" w:name="_Toc16905"/>
      <w:r>
        <w:rPr>
          <w:rFonts w:hint="eastAsia" w:ascii="仿宋" w:hAnsi="仿宋" w:eastAsia="仿宋" w:cs="仿宋"/>
          <w:b/>
          <w:color w:val="auto"/>
          <w:sz w:val="24"/>
          <w:highlight w:val="none"/>
        </w:rPr>
        <w:t>一、总则</w:t>
      </w:r>
      <w:bookmarkEnd w:id="76"/>
      <w:bookmarkEnd w:id="77"/>
    </w:p>
    <w:p w14:paraId="6ED1FB5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本项目将按照谈判文件第二章 供应商须知的相关要求及本章的规定评审。</w:t>
      </w:r>
    </w:p>
    <w:p w14:paraId="064C4263">
      <w:pPr>
        <w:spacing w:line="360" w:lineRule="auto"/>
        <w:ind w:firstLine="437"/>
        <w:outlineLvl w:val="1"/>
        <w:rPr>
          <w:rFonts w:hint="eastAsia" w:ascii="仿宋" w:hAnsi="仿宋" w:eastAsia="仿宋" w:cs="仿宋"/>
          <w:b/>
          <w:color w:val="auto"/>
          <w:sz w:val="24"/>
          <w:highlight w:val="none"/>
        </w:rPr>
      </w:pPr>
      <w:bookmarkStart w:id="78" w:name="_Toc28634"/>
      <w:bookmarkStart w:id="79" w:name="_Toc14705"/>
      <w:r>
        <w:rPr>
          <w:rFonts w:hint="eastAsia" w:ascii="仿宋" w:hAnsi="仿宋" w:eastAsia="仿宋" w:cs="仿宋"/>
          <w:b/>
          <w:color w:val="auto"/>
          <w:sz w:val="24"/>
          <w:highlight w:val="none"/>
        </w:rPr>
        <w:t>二、评审方法</w:t>
      </w:r>
      <w:bookmarkEnd w:id="78"/>
      <w:bookmarkEnd w:id="79"/>
    </w:p>
    <w:tbl>
      <w:tblPr>
        <w:tblStyle w:val="16"/>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32"/>
        <w:gridCol w:w="1919"/>
        <w:gridCol w:w="4476"/>
        <w:gridCol w:w="2998"/>
      </w:tblGrid>
      <w:tr w14:paraId="3C8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1B6034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b/>
                <w:color w:val="auto"/>
                <w:sz w:val="24"/>
                <w:szCs w:val="22"/>
                <w:highlight w:val="none"/>
              </w:rPr>
              <w:t>初审表</w:t>
            </w:r>
          </w:p>
        </w:tc>
      </w:tr>
      <w:tr w14:paraId="01A0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739C60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b/>
                <w:color w:val="auto"/>
                <w:sz w:val="24"/>
                <w:szCs w:val="22"/>
                <w:highlight w:val="none"/>
                <w:lang w:val="en-US" w:eastAsia="zh-CN"/>
              </w:rPr>
            </w:pPr>
            <w:r>
              <w:rPr>
                <w:rFonts w:hint="eastAsia" w:ascii="仿宋" w:hAnsi="仿宋" w:eastAsia="仿宋" w:cs="仿宋"/>
                <w:b/>
                <w:color w:val="auto"/>
                <w:sz w:val="24"/>
                <w:szCs w:val="22"/>
                <w:highlight w:val="none"/>
                <w:lang w:val="en-US" w:eastAsia="zh-CN"/>
              </w:rPr>
              <w:t>资格审查</w:t>
            </w:r>
          </w:p>
        </w:tc>
      </w:tr>
      <w:tr w14:paraId="572B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61" w:type="pct"/>
            <w:tcBorders>
              <w:bottom w:val="single" w:color="auto" w:sz="4" w:space="0"/>
            </w:tcBorders>
            <w:vAlign w:val="center"/>
          </w:tcPr>
          <w:p w14:paraId="405771B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947" w:type="pct"/>
            <w:tcBorders>
              <w:bottom w:val="single" w:color="auto" w:sz="4" w:space="0"/>
            </w:tcBorders>
            <w:vAlign w:val="center"/>
          </w:tcPr>
          <w:p w14:paraId="7A5F2E06">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hint="eastAsia"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审查指标</w:t>
            </w:r>
          </w:p>
        </w:tc>
        <w:tc>
          <w:tcPr>
            <w:tcW w:w="2210" w:type="pct"/>
            <w:tcBorders>
              <w:bottom w:val="single" w:color="auto" w:sz="4" w:space="0"/>
            </w:tcBorders>
            <w:vAlign w:val="center"/>
          </w:tcPr>
          <w:p w14:paraId="5B72625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审查标准</w:t>
            </w:r>
          </w:p>
        </w:tc>
        <w:tc>
          <w:tcPr>
            <w:tcW w:w="1480" w:type="pct"/>
            <w:tcBorders>
              <w:bottom w:val="single" w:color="auto" w:sz="4" w:space="0"/>
            </w:tcBorders>
            <w:vAlign w:val="center"/>
          </w:tcPr>
          <w:p w14:paraId="00A2EEE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格式要求</w:t>
            </w:r>
          </w:p>
        </w:tc>
      </w:tr>
      <w:tr w14:paraId="2EB5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61" w:type="pct"/>
            <w:tcBorders>
              <w:bottom w:val="single" w:color="auto" w:sz="4" w:space="0"/>
            </w:tcBorders>
            <w:vAlign w:val="center"/>
          </w:tcPr>
          <w:p w14:paraId="572573A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47" w:type="pct"/>
            <w:tcBorders>
              <w:bottom w:val="single" w:color="auto" w:sz="4" w:space="0"/>
            </w:tcBorders>
            <w:vAlign w:val="center"/>
          </w:tcPr>
          <w:p w14:paraId="7E1B72B2">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pacing w:val="9"/>
                <w:sz w:val="24"/>
                <w:szCs w:val="24"/>
                <w:highlight w:val="none"/>
              </w:rPr>
              <w:t>营业执照等证明</w:t>
            </w:r>
            <w:r>
              <w:rPr>
                <w:rFonts w:hint="eastAsia" w:ascii="仿宋" w:hAnsi="仿宋" w:eastAsia="仿宋" w:cs="仿宋"/>
                <w:color w:val="auto"/>
                <w:spacing w:val="-3"/>
                <w:sz w:val="24"/>
                <w:szCs w:val="24"/>
                <w:highlight w:val="none"/>
              </w:rPr>
              <w:t>文件</w:t>
            </w:r>
          </w:p>
        </w:tc>
        <w:tc>
          <w:tcPr>
            <w:tcW w:w="2210" w:type="pct"/>
            <w:tcBorders>
              <w:bottom w:val="single" w:color="auto" w:sz="4" w:space="0"/>
            </w:tcBorders>
            <w:vAlign w:val="center"/>
          </w:tcPr>
          <w:p w14:paraId="2D2F0A53">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（1）供应商为企业（包括合伙企业）的，应提供有效的营业执照；</w:t>
            </w:r>
          </w:p>
          <w:p w14:paraId="6AD72DD5">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（2）供应商为事业单位的，应提供有效的事业单位法人证书；</w:t>
            </w:r>
          </w:p>
          <w:p w14:paraId="3D66B63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（3）供应商是非企业机构的，应提供有效的执业许可证或登记证书等证明文件；</w:t>
            </w:r>
          </w:p>
          <w:p w14:paraId="3D9CD26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（4）供应商是个体工商户的，应提供有效的个体工商户营业执照；</w:t>
            </w:r>
          </w:p>
          <w:p w14:paraId="14AC5263">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（5）供应商是自然人的，应提供有效的自然人身份证明。</w:t>
            </w:r>
          </w:p>
        </w:tc>
        <w:tc>
          <w:tcPr>
            <w:tcW w:w="1480" w:type="pct"/>
            <w:vAlign w:val="center"/>
          </w:tcPr>
          <w:p w14:paraId="746B7372">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提供材料扫描件或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，应完整的体现出材料</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全部内容。联合体</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的联合体各方均须提供。</w:t>
            </w:r>
          </w:p>
        </w:tc>
      </w:tr>
      <w:tr w14:paraId="7DE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61" w:type="pct"/>
            <w:tcBorders>
              <w:bottom w:val="single" w:color="auto" w:sz="4" w:space="0"/>
            </w:tcBorders>
            <w:vAlign w:val="center"/>
          </w:tcPr>
          <w:p w14:paraId="6C578BE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47" w:type="pct"/>
            <w:tcBorders>
              <w:bottom w:val="single" w:color="auto" w:sz="4" w:space="0"/>
            </w:tcBorders>
            <w:vAlign w:val="center"/>
          </w:tcPr>
          <w:p w14:paraId="3AA9F674">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18"/>
                <w:highlight w:val="none"/>
              </w:rPr>
              <w:t>供应商资格声明书</w:t>
            </w:r>
            <w:r>
              <w:rPr>
                <w:rFonts w:hint="eastAsia" w:ascii="仿宋" w:hAnsi="仿宋" w:eastAsia="仿宋" w:cs="仿宋"/>
                <w:color w:val="auto"/>
                <w:sz w:val="24"/>
                <w:szCs w:val="18"/>
                <w:highlight w:val="none"/>
                <w:lang w:eastAsia="zh-CN"/>
              </w:rPr>
              <w:t>、</w:t>
            </w:r>
            <w:r>
              <w:rPr>
                <w:rFonts w:hint="eastAsia" w:ascii="仿宋" w:hAnsi="仿宋" w:eastAsia="仿宋" w:cs="仿宋"/>
                <w:color w:val="auto"/>
                <w:sz w:val="24"/>
                <w:szCs w:val="18"/>
                <w:highlight w:val="none"/>
                <w:lang w:val="en-US" w:eastAsia="zh-CN"/>
              </w:rPr>
              <w:t>资格承诺</w:t>
            </w:r>
          </w:p>
        </w:tc>
        <w:tc>
          <w:tcPr>
            <w:tcW w:w="2210" w:type="pct"/>
            <w:tcBorders>
              <w:bottom w:val="single" w:color="auto" w:sz="4" w:space="0"/>
            </w:tcBorders>
            <w:vAlign w:val="center"/>
          </w:tcPr>
          <w:p w14:paraId="24A5E87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提供符合</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文件要求的《供应商资格声明书》《无重大违法记录声明函、无不良信用记录承诺函》</w:t>
            </w:r>
          </w:p>
        </w:tc>
        <w:tc>
          <w:tcPr>
            <w:tcW w:w="1480" w:type="pct"/>
            <w:vAlign w:val="center"/>
          </w:tcPr>
          <w:p w14:paraId="4B1B0633">
            <w:pPr>
              <w:keepNext w:val="0"/>
              <w:keepLines w:val="0"/>
              <w:pageBreakBefore w:val="0"/>
              <w:widowControl w:val="0"/>
              <w:kinsoku/>
              <w:wordWrap/>
              <w:overflowPunct/>
              <w:topLinePunct w:val="0"/>
              <w:autoSpaceDE/>
              <w:autoSpaceDN/>
              <w:bidi w:val="0"/>
              <w:spacing w:line="400" w:lineRule="exact"/>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详见第六章响应文件格式。</w:t>
            </w:r>
          </w:p>
        </w:tc>
      </w:tr>
      <w:tr w14:paraId="6D80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tcBorders>
              <w:bottom w:val="single" w:color="auto" w:sz="4" w:space="0"/>
            </w:tcBorders>
            <w:vAlign w:val="center"/>
          </w:tcPr>
          <w:p w14:paraId="179E6D2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47" w:type="pct"/>
            <w:tcBorders>
              <w:bottom w:val="single" w:color="auto" w:sz="4" w:space="0"/>
            </w:tcBorders>
            <w:vAlign w:val="center"/>
          </w:tcPr>
          <w:p w14:paraId="077E73D2">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18"/>
                <w:highlight w:val="none"/>
              </w:rPr>
              <w:t>供应商</w:t>
            </w:r>
            <w:r>
              <w:rPr>
                <w:rFonts w:hint="eastAsia" w:ascii="仿宋" w:hAnsi="仿宋" w:eastAsia="仿宋" w:cs="仿宋"/>
                <w:color w:val="auto"/>
                <w:sz w:val="24"/>
                <w:szCs w:val="24"/>
                <w:highlight w:val="none"/>
              </w:rPr>
              <w:t>信用记录</w:t>
            </w:r>
          </w:p>
        </w:tc>
        <w:tc>
          <w:tcPr>
            <w:tcW w:w="2210" w:type="pct"/>
            <w:tcBorders>
              <w:bottom w:val="single" w:color="auto" w:sz="4" w:space="0"/>
            </w:tcBorders>
            <w:vAlign w:val="center"/>
          </w:tcPr>
          <w:p w14:paraId="7E323196">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不得存在</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须知正文第1</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条中</w:t>
            </w:r>
            <w:r>
              <w:rPr>
                <w:rFonts w:hint="eastAsia" w:ascii="仿宋" w:hAnsi="仿宋" w:eastAsia="仿宋" w:cs="仿宋"/>
                <w:color w:val="auto"/>
                <w:sz w:val="24"/>
                <w:szCs w:val="28"/>
                <w:highlight w:val="none"/>
              </w:rPr>
              <w:t>的</w:t>
            </w:r>
            <w:r>
              <w:rPr>
                <w:rFonts w:hint="eastAsia" w:ascii="仿宋" w:hAnsi="仿宋" w:eastAsia="仿宋" w:cs="仿宋"/>
                <w:color w:val="auto"/>
                <w:sz w:val="24"/>
                <w:szCs w:val="18"/>
                <w:highlight w:val="none"/>
              </w:rPr>
              <w:t>不良信用记录情形</w:t>
            </w:r>
          </w:p>
        </w:tc>
        <w:tc>
          <w:tcPr>
            <w:tcW w:w="1480" w:type="pct"/>
            <w:tcBorders>
              <w:bottom w:val="single" w:color="auto" w:sz="4" w:space="0"/>
            </w:tcBorders>
            <w:vAlign w:val="center"/>
          </w:tcPr>
          <w:p w14:paraId="0446C30F">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无需提供证明材料。</w:t>
            </w:r>
            <w:r>
              <w:rPr>
                <w:rFonts w:hint="eastAsia" w:ascii="仿宋" w:hAnsi="仿宋" w:eastAsia="仿宋" w:cs="仿宋"/>
                <w:color w:val="auto"/>
                <w:sz w:val="24"/>
                <w:szCs w:val="24"/>
                <w:highlight w:val="none"/>
              </w:rPr>
              <w:t>投标截止时间后至评审结束前</w:t>
            </w:r>
            <w:r>
              <w:rPr>
                <w:rFonts w:hint="eastAsia" w:ascii="仿宋" w:hAnsi="仿宋" w:eastAsia="仿宋" w:cs="仿宋"/>
                <w:color w:val="auto"/>
                <w:sz w:val="24"/>
                <w:szCs w:val="24"/>
                <w:highlight w:val="none"/>
                <w:lang w:eastAsia="zh-CN"/>
              </w:rPr>
              <w:t>，由采购人或者采购代理机构查询供应商的信用记录，信用记录以响应截止时间的记录信息为准</w:t>
            </w:r>
            <w:r>
              <w:rPr>
                <w:rFonts w:hint="eastAsia" w:ascii="仿宋" w:hAnsi="仿宋" w:eastAsia="仿宋" w:cs="仿宋"/>
                <w:color w:val="auto"/>
                <w:sz w:val="24"/>
                <w:szCs w:val="24"/>
                <w:highlight w:val="none"/>
                <w:lang w:val="en-US" w:eastAsia="zh-CN"/>
              </w:rPr>
              <w:t>。在上述规定的查询时间之外，网站信息发生的任何变更均不作为资格审查依据。</w:t>
            </w:r>
          </w:p>
        </w:tc>
      </w:tr>
      <w:tr w14:paraId="609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tcBorders>
              <w:bottom w:val="single" w:color="auto" w:sz="4" w:space="0"/>
            </w:tcBorders>
            <w:vAlign w:val="center"/>
          </w:tcPr>
          <w:p w14:paraId="193FB3B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947" w:type="pct"/>
            <w:tcBorders>
              <w:bottom w:val="single" w:color="auto" w:sz="4" w:space="0"/>
            </w:tcBorders>
            <w:vAlign w:val="center"/>
          </w:tcPr>
          <w:p w14:paraId="29E69685">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中小企业证明文件（</w:t>
            </w:r>
            <w:r>
              <w:rPr>
                <w:rFonts w:hint="eastAsia" w:ascii="仿宋" w:hAnsi="仿宋" w:eastAsia="仿宋" w:cs="仿宋"/>
                <w:i/>
                <w:iCs/>
                <w:color w:val="auto"/>
                <w:sz w:val="24"/>
                <w:szCs w:val="24"/>
                <w:highlight w:val="none"/>
              </w:rPr>
              <w:t>适用于专门面向中小企业采购项目或预留中小企业采购份额项目</w:t>
            </w:r>
            <w:r>
              <w:rPr>
                <w:rFonts w:hint="eastAsia" w:ascii="仿宋" w:hAnsi="仿宋" w:eastAsia="仿宋" w:cs="仿宋"/>
                <w:color w:val="auto"/>
                <w:sz w:val="24"/>
                <w:szCs w:val="24"/>
                <w:highlight w:val="none"/>
              </w:rPr>
              <w:t>）</w:t>
            </w:r>
          </w:p>
        </w:tc>
        <w:tc>
          <w:tcPr>
            <w:tcW w:w="2210" w:type="pct"/>
            <w:tcBorders>
              <w:bottom w:val="single" w:color="auto" w:sz="4" w:space="0"/>
            </w:tcBorders>
          </w:tcPr>
          <w:p w14:paraId="7B78310E">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8"/>
                <w:highlight w:val="none"/>
              </w:rPr>
              <w:t>符合申请人的资格要求中落实政府采购政策需满足的资格要求：</w:t>
            </w:r>
          </w:p>
          <w:p w14:paraId="1C4C6160">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（1）专门面向中小企业采购的，供应商应提供《中小企业声明函》或《残疾人福利性单位声明函》或由省级以上监狱管理局、戒毒管理局（含新疆生产建设兵团）出具的属于监狱企业的证明文件。</w:t>
            </w:r>
          </w:p>
          <w:p w14:paraId="0C070624">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文件关于预留份额的要求。</w:t>
            </w:r>
          </w:p>
        </w:tc>
        <w:tc>
          <w:tcPr>
            <w:tcW w:w="1480" w:type="pct"/>
            <w:tcBorders>
              <w:bottom w:val="single" w:color="auto" w:sz="4" w:space="0"/>
            </w:tcBorders>
            <w:vAlign w:val="center"/>
          </w:tcPr>
          <w:p w14:paraId="296BCBFC">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详见第六章响应文件格式。</w:t>
            </w:r>
          </w:p>
        </w:tc>
      </w:tr>
      <w:tr w14:paraId="3E4D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tcBorders>
              <w:bottom w:val="single" w:color="auto" w:sz="4" w:space="0"/>
            </w:tcBorders>
            <w:vAlign w:val="center"/>
          </w:tcPr>
          <w:p w14:paraId="5A06478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47" w:type="pct"/>
            <w:tcBorders>
              <w:bottom w:val="single" w:color="auto" w:sz="4" w:space="0"/>
            </w:tcBorders>
          </w:tcPr>
          <w:p w14:paraId="761434D4">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拟分包情况说明及分包意向协议（</w:t>
            </w:r>
            <w:r>
              <w:rPr>
                <w:rFonts w:hint="eastAsia" w:ascii="仿宋" w:hAnsi="仿宋" w:eastAsia="仿宋" w:cs="仿宋"/>
                <w:i/>
                <w:iCs/>
                <w:color w:val="auto"/>
                <w:sz w:val="24"/>
                <w:szCs w:val="24"/>
                <w:highlight w:val="none"/>
              </w:rPr>
              <w:t>适用于合同分包预留中小企业采购份额项目</w:t>
            </w:r>
            <w:r>
              <w:rPr>
                <w:rFonts w:hint="eastAsia" w:ascii="仿宋" w:hAnsi="仿宋" w:eastAsia="仿宋" w:cs="仿宋"/>
                <w:color w:val="auto"/>
                <w:sz w:val="24"/>
                <w:szCs w:val="24"/>
                <w:highlight w:val="none"/>
              </w:rPr>
              <w:t>）</w:t>
            </w:r>
          </w:p>
        </w:tc>
        <w:tc>
          <w:tcPr>
            <w:tcW w:w="2210" w:type="pct"/>
            <w:tcBorders>
              <w:bottom w:val="single" w:color="auto" w:sz="4" w:space="0"/>
            </w:tcBorders>
            <w:vAlign w:val="center"/>
          </w:tcPr>
          <w:p w14:paraId="595D668F">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通过分包措施预留部分采购份额面向中小企业采购且供应商因落实政府采购政策拟进行分包的。</w:t>
            </w:r>
          </w:p>
        </w:tc>
        <w:tc>
          <w:tcPr>
            <w:tcW w:w="1480" w:type="pct"/>
            <w:tcBorders>
              <w:bottom w:val="single" w:color="auto" w:sz="4" w:space="0"/>
            </w:tcBorders>
            <w:vAlign w:val="center"/>
          </w:tcPr>
          <w:p w14:paraId="6158A319">
            <w:pPr>
              <w:keepNext w:val="0"/>
              <w:keepLines w:val="0"/>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详见第六章响应文件格式。</w:t>
            </w:r>
          </w:p>
        </w:tc>
      </w:tr>
      <w:tr w14:paraId="30C9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tcBorders>
              <w:bottom w:val="single" w:color="auto" w:sz="4" w:space="0"/>
            </w:tcBorders>
            <w:vAlign w:val="center"/>
          </w:tcPr>
          <w:p w14:paraId="3011C04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947" w:type="pct"/>
            <w:tcBorders>
              <w:bottom w:val="single" w:color="auto" w:sz="4" w:space="0"/>
            </w:tcBorders>
            <w:vAlign w:val="center"/>
          </w:tcPr>
          <w:p w14:paraId="10992098">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其它落实政府采</w:t>
            </w:r>
            <w:r>
              <w:rPr>
                <w:rFonts w:hint="eastAsia" w:ascii="仿宋" w:hAnsi="仿宋" w:eastAsia="仿宋" w:cs="仿宋"/>
                <w:color w:val="auto"/>
                <w:spacing w:val="11"/>
                <w:sz w:val="24"/>
                <w:szCs w:val="24"/>
                <w:highlight w:val="none"/>
              </w:rPr>
              <w:t>购政策的资格要</w:t>
            </w:r>
            <w:r>
              <w:rPr>
                <w:rFonts w:hint="eastAsia" w:ascii="仿宋" w:hAnsi="仿宋" w:eastAsia="仿宋" w:cs="仿宋"/>
                <w:color w:val="auto"/>
                <w:sz w:val="24"/>
                <w:szCs w:val="24"/>
                <w:highlight w:val="none"/>
              </w:rPr>
              <w:t>求</w:t>
            </w:r>
          </w:p>
        </w:tc>
        <w:tc>
          <w:tcPr>
            <w:tcW w:w="2210" w:type="pct"/>
            <w:tcBorders>
              <w:bottom w:val="single" w:color="auto" w:sz="4" w:space="0"/>
            </w:tcBorders>
            <w:vAlign w:val="center"/>
          </w:tcPr>
          <w:p w14:paraId="6BB3386D">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如有，见第一章《</w:t>
            </w:r>
            <w:r>
              <w:rPr>
                <w:rFonts w:hint="eastAsia" w:ascii="仿宋" w:hAnsi="仿宋" w:eastAsia="仿宋" w:cs="仿宋"/>
                <w:color w:val="auto"/>
                <w:spacing w:val="-2"/>
                <w:sz w:val="24"/>
                <w:szCs w:val="24"/>
                <w:highlight w:val="none"/>
                <w:lang w:eastAsia="zh-CN"/>
              </w:rPr>
              <w:t>采购邀请</w:t>
            </w:r>
            <w:r>
              <w:rPr>
                <w:rFonts w:hint="eastAsia" w:ascii="仿宋" w:hAnsi="仿宋" w:eastAsia="仿宋" w:cs="仿宋"/>
                <w:color w:val="auto"/>
                <w:spacing w:val="-2"/>
                <w:sz w:val="24"/>
                <w:szCs w:val="24"/>
                <w:highlight w:val="none"/>
              </w:rPr>
              <w:t>》</w:t>
            </w:r>
          </w:p>
        </w:tc>
        <w:tc>
          <w:tcPr>
            <w:tcW w:w="1480" w:type="pct"/>
            <w:tcBorders>
              <w:bottom w:val="single" w:color="auto" w:sz="4" w:space="0"/>
            </w:tcBorders>
            <w:vAlign w:val="center"/>
          </w:tcPr>
          <w:p w14:paraId="1FEC7812">
            <w:pPr>
              <w:keepNext w:val="0"/>
              <w:keepLines w:val="0"/>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提供材料扫描件或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，应完整体现出材料或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全部内容。</w:t>
            </w:r>
          </w:p>
        </w:tc>
      </w:tr>
      <w:tr w14:paraId="59A1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tcBorders>
              <w:bottom w:val="single" w:color="auto" w:sz="4" w:space="0"/>
            </w:tcBorders>
            <w:vAlign w:val="center"/>
          </w:tcPr>
          <w:p w14:paraId="02B7B4B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947" w:type="pct"/>
            <w:tcBorders>
              <w:bottom w:val="single" w:color="auto" w:sz="4" w:space="0"/>
            </w:tcBorders>
            <w:vAlign w:val="center"/>
          </w:tcPr>
          <w:p w14:paraId="6607B6C2">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本项目对于联合</w:t>
            </w:r>
            <w:r>
              <w:rPr>
                <w:rFonts w:hint="eastAsia" w:ascii="仿宋" w:hAnsi="仿宋" w:eastAsia="仿宋" w:cs="仿宋"/>
                <w:color w:val="auto"/>
                <w:spacing w:val="-2"/>
                <w:sz w:val="24"/>
                <w:szCs w:val="24"/>
                <w:highlight w:val="none"/>
              </w:rPr>
              <w:t>体的要求（</w:t>
            </w:r>
            <w:r>
              <w:rPr>
                <w:rFonts w:hint="eastAsia" w:ascii="仿宋" w:hAnsi="仿宋" w:eastAsia="仿宋" w:cs="仿宋"/>
                <w:i/>
                <w:iCs/>
                <w:color w:val="auto"/>
                <w:spacing w:val="-2"/>
                <w:sz w:val="24"/>
                <w:szCs w:val="24"/>
                <w:highlight w:val="none"/>
              </w:rPr>
              <w:t>适用于接受联合体</w:t>
            </w:r>
            <w:r>
              <w:rPr>
                <w:rFonts w:hint="eastAsia" w:ascii="仿宋" w:hAnsi="仿宋" w:eastAsia="仿宋" w:cs="仿宋"/>
                <w:i/>
                <w:iCs/>
                <w:color w:val="auto"/>
                <w:spacing w:val="-2"/>
                <w:sz w:val="24"/>
                <w:szCs w:val="24"/>
                <w:highlight w:val="none"/>
                <w:lang w:eastAsia="zh-CN"/>
              </w:rPr>
              <w:t>谈判</w:t>
            </w:r>
            <w:r>
              <w:rPr>
                <w:rFonts w:hint="eastAsia" w:ascii="仿宋" w:hAnsi="仿宋" w:eastAsia="仿宋" w:cs="仿宋"/>
                <w:i/>
                <w:iCs/>
                <w:color w:val="auto"/>
                <w:spacing w:val="-2"/>
                <w:sz w:val="24"/>
                <w:szCs w:val="24"/>
                <w:highlight w:val="none"/>
              </w:rPr>
              <w:t>项目</w:t>
            </w:r>
            <w:r>
              <w:rPr>
                <w:rFonts w:hint="eastAsia" w:ascii="仿宋" w:hAnsi="仿宋" w:eastAsia="仿宋" w:cs="仿宋"/>
                <w:color w:val="auto"/>
                <w:spacing w:val="-2"/>
                <w:sz w:val="24"/>
                <w:szCs w:val="24"/>
                <w:highlight w:val="none"/>
              </w:rPr>
              <w:t>）</w:t>
            </w:r>
          </w:p>
        </w:tc>
        <w:tc>
          <w:tcPr>
            <w:tcW w:w="2210" w:type="pct"/>
            <w:tcBorders>
              <w:bottom w:val="single" w:color="auto" w:sz="4" w:space="0"/>
            </w:tcBorders>
            <w:vAlign w:val="center"/>
          </w:tcPr>
          <w:p w14:paraId="18F0E3E9">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联合体</w:t>
            </w:r>
            <w:r>
              <w:rPr>
                <w:rFonts w:hint="eastAsia" w:ascii="仿宋" w:hAnsi="仿宋" w:eastAsia="仿宋" w:cs="仿宋"/>
                <w:color w:val="auto"/>
                <w:spacing w:val="-2"/>
                <w:sz w:val="24"/>
                <w:szCs w:val="24"/>
                <w:highlight w:val="none"/>
                <w:lang w:eastAsia="zh-CN"/>
              </w:rPr>
              <w:t>谈判</w:t>
            </w:r>
            <w:r>
              <w:rPr>
                <w:rFonts w:hint="eastAsia" w:ascii="仿宋" w:hAnsi="仿宋" w:eastAsia="仿宋" w:cs="仿宋"/>
                <w:color w:val="auto"/>
                <w:spacing w:val="-2"/>
                <w:sz w:val="24"/>
                <w:szCs w:val="24"/>
                <w:highlight w:val="none"/>
              </w:rPr>
              <w:t>的</w:t>
            </w:r>
            <w:r>
              <w:rPr>
                <w:rFonts w:hint="eastAsia" w:ascii="仿宋" w:hAnsi="仿宋" w:eastAsia="仿宋" w:cs="仿宋"/>
                <w:color w:val="auto"/>
                <w:spacing w:val="10"/>
                <w:sz w:val="24"/>
                <w:szCs w:val="24"/>
                <w:highlight w:val="none"/>
              </w:rPr>
              <w:t>详见</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须知正文第</w:t>
            </w:r>
            <w:r>
              <w:rPr>
                <w:rFonts w:hint="eastAsia" w:ascii="仿宋" w:hAnsi="仿宋" w:eastAsia="仿宋" w:cs="仿宋"/>
                <w:color w:val="auto"/>
                <w:sz w:val="24"/>
                <w:szCs w:val="24"/>
                <w:highlight w:val="none"/>
              </w:rPr>
              <w:t>1.5，且</w:t>
            </w:r>
            <w:r>
              <w:rPr>
                <w:rFonts w:hint="eastAsia" w:ascii="仿宋" w:hAnsi="仿宋" w:eastAsia="仿宋" w:cs="仿宋"/>
                <w:color w:val="auto"/>
                <w:spacing w:val="10"/>
                <w:sz w:val="24"/>
                <w:szCs w:val="24"/>
                <w:highlight w:val="none"/>
              </w:rPr>
              <w:t>提供《联合协议》。</w:t>
            </w:r>
          </w:p>
        </w:tc>
        <w:tc>
          <w:tcPr>
            <w:tcW w:w="1480" w:type="pct"/>
            <w:tcBorders>
              <w:bottom w:val="single" w:color="auto" w:sz="4" w:space="0"/>
            </w:tcBorders>
            <w:vAlign w:val="center"/>
          </w:tcPr>
          <w:p w14:paraId="45067A3C">
            <w:pPr>
              <w:keepNext w:val="0"/>
              <w:keepLines w:val="0"/>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《联合协议》</w:t>
            </w:r>
            <w:r>
              <w:rPr>
                <w:rFonts w:hint="eastAsia" w:ascii="仿宋" w:hAnsi="仿宋" w:eastAsia="仿宋" w:cs="仿宋"/>
                <w:color w:val="auto"/>
                <w:sz w:val="24"/>
                <w:highlight w:val="none"/>
              </w:rPr>
              <w:t>详见第六章响应文件格式。</w:t>
            </w:r>
          </w:p>
        </w:tc>
      </w:tr>
      <w:tr w14:paraId="177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vAlign w:val="center"/>
          </w:tcPr>
          <w:p w14:paraId="2EC941D8">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947" w:type="pct"/>
            <w:vAlign w:val="center"/>
          </w:tcPr>
          <w:p w14:paraId="70A97098">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其他特定资格要求</w:t>
            </w:r>
          </w:p>
        </w:tc>
        <w:tc>
          <w:tcPr>
            <w:tcW w:w="2210" w:type="pct"/>
            <w:vAlign w:val="center"/>
          </w:tcPr>
          <w:p w14:paraId="46ECCF3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如有，见第一章《</w:t>
            </w:r>
            <w:r>
              <w:rPr>
                <w:rFonts w:hint="eastAsia" w:ascii="仿宋" w:hAnsi="仿宋" w:eastAsia="仿宋" w:cs="仿宋"/>
                <w:color w:val="auto"/>
                <w:spacing w:val="10"/>
                <w:sz w:val="24"/>
                <w:szCs w:val="24"/>
                <w:highlight w:val="none"/>
                <w:lang w:eastAsia="zh-CN"/>
              </w:rPr>
              <w:t>采购邀请</w:t>
            </w:r>
            <w:r>
              <w:rPr>
                <w:rFonts w:hint="eastAsia" w:ascii="仿宋" w:hAnsi="仿宋" w:eastAsia="仿宋" w:cs="仿宋"/>
                <w:color w:val="auto"/>
                <w:spacing w:val="10"/>
                <w:sz w:val="24"/>
                <w:szCs w:val="24"/>
                <w:highlight w:val="none"/>
              </w:rPr>
              <w:t>》</w:t>
            </w:r>
          </w:p>
        </w:tc>
        <w:tc>
          <w:tcPr>
            <w:tcW w:w="1480" w:type="pct"/>
            <w:vAlign w:val="center"/>
          </w:tcPr>
          <w:p w14:paraId="6627EF44">
            <w:pPr>
              <w:keepNext w:val="0"/>
              <w:keepLines w:val="0"/>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提供材料扫描件或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，应完整体现出材料或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全部内容。</w:t>
            </w:r>
          </w:p>
        </w:tc>
      </w:tr>
      <w:tr w14:paraId="65F6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vAlign w:val="center"/>
          </w:tcPr>
          <w:p w14:paraId="239F38C5">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符合性评审</w:t>
            </w:r>
          </w:p>
        </w:tc>
      </w:tr>
      <w:tr w14:paraId="2AD7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61" w:type="pct"/>
            <w:shd w:val="clear" w:color="auto" w:fill="auto"/>
            <w:vAlign w:val="center"/>
          </w:tcPr>
          <w:p w14:paraId="4D1011E5">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仿宋" w:hAnsi="仿宋" w:eastAsia="仿宋" w:cs="仿宋"/>
                <w:b/>
                <w:bCs/>
                <w:color w:val="auto"/>
                <w:kern w:val="2"/>
                <w:sz w:val="24"/>
                <w:highlight w:val="none"/>
                <w:lang w:val="en-US" w:eastAsia="zh-CN" w:bidi="ar-SA"/>
              </w:rPr>
            </w:pPr>
            <w:r>
              <w:rPr>
                <w:rFonts w:hint="eastAsia" w:ascii="仿宋" w:hAnsi="仿宋" w:eastAsia="仿宋" w:cs="仿宋"/>
                <w:b/>
                <w:bCs/>
                <w:color w:val="auto"/>
                <w:sz w:val="24"/>
                <w:highlight w:val="none"/>
              </w:rPr>
              <w:t>序号</w:t>
            </w:r>
          </w:p>
        </w:tc>
        <w:tc>
          <w:tcPr>
            <w:tcW w:w="947" w:type="pct"/>
            <w:shd w:val="clear" w:color="auto" w:fill="auto"/>
            <w:vAlign w:val="center"/>
          </w:tcPr>
          <w:p w14:paraId="72A8A205">
            <w:pPr>
              <w:pStyle w:val="3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rightChars="0"/>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Cs w:val="24"/>
                <w:highlight w:val="none"/>
              </w:rPr>
              <w:t>审查指标</w:t>
            </w:r>
          </w:p>
        </w:tc>
        <w:tc>
          <w:tcPr>
            <w:tcW w:w="2210" w:type="pct"/>
            <w:shd w:val="clear" w:color="auto" w:fill="auto"/>
            <w:vAlign w:val="center"/>
          </w:tcPr>
          <w:p w14:paraId="3F65AC27">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仿宋" w:hAnsi="仿宋" w:eastAsia="仿宋" w:cs="仿宋"/>
                <w:b/>
                <w:bCs/>
                <w:color w:val="auto"/>
                <w:kern w:val="2"/>
                <w:sz w:val="24"/>
                <w:highlight w:val="none"/>
                <w:lang w:val="en-US" w:eastAsia="zh-CN" w:bidi="ar-SA"/>
              </w:rPr>
            </w:pPr>
            <w:r>
              <w:rPr>
                <w:rFonts w:hint="eastAsia" w:ascii="仿宋" w:hAnsi="仿宋" w:eastAsia="仿宋" w:cs="仿宋"/>
                <w:b/>
                <w:bCs/>
                <w:color w:val="auto"/>
                <w:sz w:val="24"/>
                <w:highlight w:val="none"/>
              </w:rPr>
              <w:t>审查标准</w:t>
            </w:r>
          </w:p>
        </w:tc>
        <w:tc>
          <w:tcPr>
            <w:tcW w:w="1480" w:type="pct"/>
            <w:shd w:val="clear" w:color="auto" w:fill="auto"/>
            <w:vAlign w:val="center"/>
          </w:tcPr>
          <w:p w14:paraId="4032F00A">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仿宋" w:hAnsi="仿宋" w:eastAsia="仿宋" w:cs="仿宋"/>
                <w:b/>
                <w:bCs/>
                <w:color w:val="auto"/>
                <w:kern w:val="2"/>
                <w:sz w:val="24"/>
                <w:highlight w:val="none"/>
                <w:lang w:val="en-US" w:eastAsia="zh-CN" w:bidi="ar-SA"/>
              </w:rPr>
            </w:pPr>
            <w:r>
              <w:rPr>
                <w:rFonts w:hint="eastAsia" w:ascii="仿宋" w:hAnsi="仿宋" w:eastAsia="仿宋" w:cs="仿宋"/>
                <w:b/>
                <w:bCs/>
                <w:color w:val="auto"/>
                <w:sz w:val="24"/>
                <w:highlight w:val="none"/>
              </w:rPr>
              <w:t>格式要求</w:t>
            </w:r>
          </w:p>
        </w:tc>
      </w:tr>
      <w:tr w14:paraId="2F18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vAlign w:val="center"/>
          </w:tcPr>
          <w:p w14:paraId="2597803D">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947" w:type="pct"/>
            <w:vAlign w:val="center"/>
          </w:tcPr>
          <w:p w14:paraId="6A74119D">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谈判</w:t>
            </w:r>
            <w:r>
              <w:rPr>
                <w:rFonts w:hint="eastAsia" w:ascii="仿宋" w:hAnsi="仿宋" w:eastAsia="仿宋" w:cs="仿宋"/>
                <w:color w:val="auto"/>
                <w:sz w:val="24"/>
                <w:szCs w:val="28"/>
                <w:highlight w:val="none"/>
              </w:rPr>
              <w:t>响应函</w:t>
            </w:r>
          </w:p>
        </w:tc>
        <w:tc>
          <w:tcPr>
            <w:tcW w:w="2210" w:type="pct"/>
            <w:vAlign w:val="center"/>
          </w:tcPr>
          <w:p w14:paraId="2F9DF45D">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格式、填写要求符合</w:t>
            </w:r>
            <w:r>
              <w:rPr>
                <w:rFonts w:hint="eastAsia" w:ascii="仿宋" w:hAnsi="仿宋" w:eastAsia="仿宋" w:cs="仿宋"/>
                <w:color w:val="auto"/>
                <w:sz w:val="24"/>
                <w:szCs w:val="28"/>
                <w:highlight w:val="none"/>
                <w:lang w:eastAsia="zh-CN"/>
              </w:rPr>
              <w:t>谈判</w:t>
            </w:r>
            <w:r>
              <w:rPr>
                <w:rFonts w:hint="eastAsia" w:ascii="仿宋" w:hAnsi="仿宋" w:eastAsia="仿宋" w:cs="仿宋"/>
                <w:color w:val="auto"/>
                <w:sz w:val="24"/>
                <w:szCs w:val="28"/>
                <w:highlight w:val="none"/>
              </w:rPr>
              <w:t>文件规定并加盖</w:t>
            </w:r>
            <w:r>
              <w:rPr>
                <w:rFonts w:hint="eastAsia" w:ascii="仿宋" w:hAnsi="仿宋" w:eastAsia="仿宋" w:cs="仿宋"/>
                <w:color w:val="auto"/>
                <w:sz w:val="24"/>
                <w:szCs w:val="28"/>
                <w:highlight w:val="none"/>
                <w:lang w:eastAsia="zh-CN"/>
              </w:rPr>
              <w:t>供应商单位盖章</w:t>
            </w:r>
          </w:p>
        </w:tc>
        <w:tc>
          <w:tcPr>
            <w:tcW w:w="1480" w:type="pct"/>
            <w:vAlign w:val="center"/>
          </w:tcPr>
          <w:p w14:paraId="1EA5D4F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详见第六章响应文件格式。</w:t>
            </w:r>
          </w:p>
        </w:tc>
      </w:tr>
      <w:tr w14:paraId="3024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vAlign w:val="center"/>
          </w:tcPr>
          <w:p w14:paraId="6896D9E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947" w:type="pct"/>
            <w:vAlign w:val="center"/>
          </w:tcPr>
          <w:p w14:paraId="6E316547">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rPr>
              <w:t>授权书</w:t>
            </w:r>
          </w:p>
        </w:tc>
        <w:tc>
          <w:tcPr>
            <w:tcW w:w="2210" w:type="pct"/>
            <w:vAlign w:val="center"/>
          </w:tcPr>
          <w:p w14:paraId="6D194122">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z w:val="24"/>
                <w:szCs w:val="28"/>
                <w:highlight w:val="none"/>
              </w:rPr>
              <w:t>格式、填写要求符合</w:t>
            </w:r>
            <w:r>
              <w:rPr>
                <w:rFonts w:hint="eastAsia" w:ascii="仿宋" w:hAnsi="仿宋" w:eastAsia="仿宋" w:cs="仿宋"/>
                <w:color w:val="auto"/>
                <w:spacing w:val="10"/>
                <w:sz w:val="24"/>
                <w:szCs w:val="24"/>
                <w:highlight w:val="none"/>
                <w:lang w:eastAsia="zh-CN"/>
              </w:rPr>
              <w:t>谈判</w:t>
            </w:r>
            <w:r>
              <w:rPr>
                <w:rFonts w:hint="eastAsia" w:ascii="仿宋" w:hAnsi="仿宋" w:eastAsia="仿宋" w:cs="仿宋"/>
                <w:color w:val="auto"/>
                <w:sz w:val="24"/>
                <w:szCs w:val="28"/>
                <w:highlight w:val="none"/>
              </w:rPr>
              <w:t>文件规定并加盖</w:t>
            </w:r>
            <w:r>
              <w:rPr>
                <w:rFonts w:hint="eastAsia" w:ascii="仿宋" w:hAnsi="仿宋" w:eastAsia="仿宋" w:cs="仿宋"/>
                <w:color w:val="auto"/>
                <w:sz w:val="24"/>
                <w:highlight w:val="none"/>
                <w:lang w:eastAsia="zh-CN"/>
              </w:rPr>
              <w:t>供应商单位盖章</w:t>
            </w:r>
          </w:p>
        </w:tc>
        <w:tc>
          <w:tcPr>
            <w:tcW w:w="1480" w:type="pct"/>
            <w:vAlign w:val="center"/>
          </w:tcPr>
          <w:p w14:paraId="04BD6E3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法定代表人参加</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的无需此件，提供身份证明即可。详见第六章响应文件格式。</w:t>
            </w:r>
          </w:p>
        </w:tc>
      </w:tr>
      <w:tr w14:paraId="28A1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vAlign w:val="center"/>
          </w:tcPr>
          <w:p w14:paraId="681B94E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947" w:type="pct"/>
            <w:vAlign w:val="center"/>
          </w:tcPr>
          <w:p w14:paraId="2AF597C0">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lang w:eastAsia="zh-CN"/>
              </w:rPr>
              <w:t>谈判</w:t>
            </w:r>
            <w:r>
              <w:rPr>
                <w:rFonts w:hint="eastAsia" w:ascii="仿宋" w:hAnsi="仿宋" w:eastAsia="仿宋" w:cs="仿宋"/>
                <w:color w:val="auto"/>
                <w:sz w:val="24"/>
                <w:szCs w:val="28"/>
                <w:highlight w:val="none"/>
              </w:rPr>
              <w:t>报价</w:t>
            </w:r>
          </w:p>
        </w:tc>
        <w:tc>
          <w:tcPr>
            <w:tcW w:w="2210" w:type="pct"/>
            <w:vAlign w:val="center"/>
          </w:tcPr>
          <w:p w14:paraId="3AE8FC9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rPr>
              <w:t>符合</w:t>
            </w:r>
            <w:r>
              <w:rPr>
                <w:rFonts w:hint="eastAsia" w:ascii="仿宋" w:hAnsi="仿宋" w:eastAsia="仿宋" w:cs="仿宋"/>
                <w:color w:val="auto"/>
                <w:spacing w:val="10"/>
                <w:sz w:val="24"/>
                <w:szCs w:val="24"/>
                <w:highlight w:val="none"/>
                <w:lang w:eastAsia="zh-CN"/>
              </w:rPr>
              <w:t>谈判</w:t>
            </w:r>
            <w:r>
              <w:rPr>
                <w:rFonts w:hint="eastAsia" w:ascii="仿宋" w:hAnsi="仿宋" w:eastAsia="仿宋" w:cs="仿宋"/>
                <w:color w:val="auto"/>
                <w:sz w:val="24"/>
                <w:highlight w:val="none"/>
              </w:rPr>
              <w:t>文件供应商须知正文第9条要求</w:t>
            </w:r>
          </w:p>
        </w:tc>
        <w:tc>
          <w:tcPr>
            <w:tcW w:w="1480" w:type="pct"/>
            <w:vAlign w:val="center"/>
          </w:tcPr>
          <w:p w14:paraId="25E5976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详见第六章响应文件格式。</w:t>
            </w:r>
          </w:p>
        </w:tc>
      </w:tr>
      <w:tr w14:paraId="72AD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vAlign w:val="center"/>
          </w:tcPr>
          <w:p w14:paraId="3CD4474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947" w:type="pct"/>
            <w:vAlign w:val="center"/>
          </w:tcPr>
          <w:p w14:paraId="0A4769AA">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rPr>
              <w:t>商务响应情况</w:t>
            </w:r>
          </w:p>
        </w:tc>
        <w:tc>
          <w:tcPr>
            <w:tcW w:w="2210" w:type="pct"/>
            <w:vAlign w:val="center"/>
          </w:tcPr>
          <w:p w14:paraId="1CB64762">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rPr>
              <w:t>符合</w:t>
            </w:r>
            <w:r>
              <w:rPr>
                <w:rFonts w:hint="eastAsia" w:ascii="仿宋" w:hAnsi="仿宋" w:eastAsia="仿宋" w:cs="仿宋"/>
                <w:color w:val="auto"/>
                <w:spacing w:val="10"/>
                <w:sz w:val="24"/>
                <w:szCs w:val="24"/>
                <w:highlight w:val="none"/>
                <w:lang w:eastAsia="zh-CN"/>
              </w:rPr>
              <w:t>谈判</w:t>
            </w:r>
            <w:r>
              <w:rPr>
                <w:rFonts w:hint="eastAsia" w:ascii="仿宋" w:hAnsi="仿宋" w:eastAsia="仿宋" w:cs="仿宋"/>
                <w:color w:val="auto"/>
                <w:sz w:val="24"/>
                <w:szCs w:val="28"/>
                <w:highlight w:val="none"/>
              </w:rPr>
              <w:t>文件采购需求中对付款方式、服务地点、服务期限等实质性要求</w:t>
            </w:r>
          </w:p>
        </w:tc>
        <w:tc>
          <w:tcPr>
            <w:tcW w:w="1480" w:type="pct"/>
            <w:vAlign w:val="center"/>
          </w:tcPr>
          <w:p w14:paraId="35E7014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详见第六章响应文件格式。</w:t>
            </w:r>
          </w:p>
        </w:tc>
      </w:tr>
      <w:tr w14:paraId="5DC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61" w:type="pct"/>
            <w:vAlign w:val="center"/>
          </w:tcPr>
          <w:p w14:paraId="6EC12DC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947" w:type="pct"/>
            <w:vAlign w:val="center"/>
          </w:tcPr>
          <w:p w14:paraId="17F83FED">
            <w:pPr>
              <w:keepNext w:val="0"/>
              <w:keepLines w:val="0"/>
              <w:pageBreakBefore w:val="0"/>
              <w:widowControl w:val="0"/>
              <w:kinsoku/>
              <w:wordWrap/>
              <w:overflowPunct/>
              <w:topLinePunct w:val="0"/>
              <w:autoSpaceDE/>
              <w:autoSpaceDN/>
              <w:bidi w:val="0"/>
              <w:spacing w:line="400" w:lineRule="exact"/>
              <w:ind w:right="0"/>
              <w:jc w:val="center"/>
              <w:textAlignment w:val="auto"/>
              <w:outlineLvl w:val="2"/>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rPr>
              <w:t>技术响应情况</w:t>
            </w:r>
          </w:p>
        </w:tc>
        <w:tc>
          <w:tcPr>
            <w:tcW w:w="2210" w:type="pct"/>
            <w:vAlign w:val="center"/>
          </w:tcPr>
          <w:p w14:paraId="73D6644B">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符合</w:t>
            </w:r>
            <w:r>
              <w:rPr>
                <w:rFonts w:hint="eastAsia" w:ascii="仿宋" w:hAnsi="仿宋" w:eastAsia="仿宋" w:cs="仿宋"/>
                <w:color w:val="auto"/>
                <w:spacing w:val="10"/>
                <w:sz w:val="24"/>
                <w:szCs w:val="24"/>
                <w:highlight w:val="none"/>
                <w:lang w:val="en-US" w:eastAsia="zh-CN"/>
              </w:rPr>
              <w:t>谈判</w:t>
            </w:r>
            <w:r>
              <w:rPr>
                <w:rFonts w:hint="eastAsia" w:ascii="仿宋" w:hAnsi="仿宋" w:eastAsia="仿宋" w:cs="仿宋"/>
                <w:color w:val="auto"/>
                <w:spacing w:val="10"/>
                <w:sz w:val="24"/>
                <w:szCs w:val="24"/>
                <w:highlight w:val="none"/>
              </w:rPr>
              <w:t>文件采购需求中</w:t>
            </w:r>
            <w:r>
              <w:rPr>
                <w:rFonts w:hint="eastAsia" w:ascii="仿宋" w:hAnsi="仿宋" w:eastAsia="仿宋" w:cs="仿宋"/>
                <w:color w:val="auto"/>
                <w:spacing w:val="10"/>
                <w:sz w:val="24"/>
                <w:szCs w:val="24"/>
                <w:highlight w:val="none"/>
                <w:lang w:val="en-US" w:eastAsia="zh-CN"/>
              </w:rPr>
              <w:t>实质性响应技术参数</w:t>
            </w:r>
            <w:r>
              <w:rPr>
                <w:rFonts w:hint="eastAsia" w:ascii="仿宋" w:hAnsi="仿宋" w:eastAsia="仿宋" w:cs="仿宋"/>
                <w:color w:val="auto"/>
                <w:spacing w:val="10"/>
                <w:sz w:val="24"/>
                <w:szCs w:val="24"/>
                <w:highlight w:val="none"/>
              </w:rPr>
              <w:t>要求</w:t>
            </w:r>
          </w:p>
        </w:tc>
        <w:tc>
          <w:tcPr>
            <w:tcW w:w="1480" w:type="pct"/>
            <w:vAlign w:val="center"/>
          </w:tcPr>
          <w:p w14:paraId="68CBE83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详见第六章响应文件格式。</w:t>
            </w:r>
          </w:p>
        </w:tc>
      </w:tr>
      <w:tr w14:paraId="5389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61" w:type="pct"/>
            <w:vAlign w:val="center"/>
          </w:tcPr>
          <w:p w14:paraId="2E6CEE2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947" w:type="pct"/>
            <w:vAlign w:val="center"/>
          </w:tcPr>
          <w:p w14:paraId="7CA8A3C5">
            <w:pPr>
              <w:keepNext w:val="0"/>
              <w:keepLines w:val="0"/>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rPr>
              <w:t>其他要求</w:t>
            </w:r>
          </w:p>
        </w:tc>
        <w:tc>
          <w:tcPr>
            <w:tcW w:w="2210" w:type="pct"/>
            <w:vAlign w:val="center"/>
          </w:tcPr>
          <w:p w14:paraId="6F8FDA4A">
            <w:pPr>
              <w:keepNext w:val="0"/>
              <w:keepLines w:val="0"/>
              <w:pageBreakBefore w:val="0"/>
              <w:widowControl w:val="0"/>
              <w:kinsoku/>
              <w:wordWrap/>
              <w:overflowPunct/>
              <w:topLinePunct w:val="0"/>
              <w:autoSpaceDE/>
              <w:autoSpaceDN/>
              <w:bidi w:val="0"/>
              <w:spacing w:line="400" w:lineRule="exact"/>
              <w:ind w:right="0"/>
              <w:jc w:val="both"/>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8"/>
                <w:highlight w:val="none"/>
              </w:rPr>
              <w:t>符合法律、行政法规规定的其他条件或</w:t>
            </w:r>
            <w:r>
              <w:rPr>
                <w:rFonts w:hint="eastAsia" w:ascii="仿宋" w:hAnsi="仿宋" w:eastAsia="仿宋" w:cs="仿宋"/>
                <w:color w:val="auto"/>
                <w:sz w:val="24"/>
                <w:szCs w:val="28"/>
                <w:highlight w:val="none"/>
                <w:lang w:eastAsia="zh-CN"/>
              </w:rPr>
              <w:t>谈判</w:t>
            </w:r>
            <w:r>
              <w:rPr>
                <w:rFonts w:hint="eastAsia" w:ascii="仿宋" w:hAnsi="仿宋" w:eastAsia="仿宋" w:cs="仿宋"/>
                <w:color w:val="auto"/>
                <w:sz w:val="24"/>
                <w:szCs w:val="28"/>
                <w:highlight w:val="none"/>
              </w:rPr>
              <w:t>文件列明的其他实质性要求</w:t>
            </w:r>
          </w:p>
        </w:tc>
        <w:tc>
          <w:tcPr>
            <w:tcW w:w="1480" w:type="pct"/>
            <w:vAlign w:val="center"/>
          </w:tcPr>
          <w:p w14:paraId="7AE371B1">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hint="eastAsia" w:ascii="仿宋" w:hAnsi="仿宋" w:eastAsia="仿宋" w:cs="仿宋"/>
                <w:color w:val="auto"/>
                <w:sz w:val="24"/>
                <w:szCs w:val="24"/>
                <w:highlight w:val="none"/>
              </w:rPr>
            </w:pPr>
          </w:p>
        </w:tc>
      </w:tr>
    </w:tbl>
    <w:p w14:paraId="36E6ACCA">
      <w:pPr>
        <w:spacing w:line="360" w:lineRule="auto"/>
        <w:rPr>
          <w:rFonts w:hint="eastAsia" w:ascii="仿宋" w:hAnsi="仿宋" w:eastAsia="仿宋" w:cs="仿宋"/>
          <w:b/>
          <w:bCs/>
          <w:color w:val="auto"/>
          <w:sz w:val="24"/>
          <w:highlight w:val="none"/>
        </w:rPr>
      </w:pPr>
    </w:p>
    <w:p w14:paraId="2CC8A890">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初审指标通过标准：</w:t>
      </w:r>
      <w:r>
        <w:rPr>
          <w:rFonts w:hint="eastAsia" w:ascii="仿宋" w:hAnsi="仿宋" w:eastAsia="仿宋" w:cs="仿宋"/>
          <w:color w:val="auto"/>
          <w:sz w:val="24"/>
          <w:highlight w:val="none"/>
        </w:rPr>
        <w:t>供应商必须通过初审表中的全部评审指标。</w:t>
      </w:r>
    </w:p>
    <w:p w14:paraId="2EF2562B">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4ECF44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仿宋" w:hAnsi="仿宋" w:eastAsia="仿宋" w:cs="仿宋"/>
          <w:b/>
          <w:color w:val="auto"/>
          <w:sz w:val="28"/>
          <w:highlight w:val="none"/>
        </w:rPr>
      </w:pPr>
      <w:bookmarkStart w:id="80" w:name="_Toc35526206"/>
      <w:bookmarkStart w:id="81" w:name="_Toc27310"/>
      <w:r>
        <w:rPr>
          <w:rFonts w:hint="eastAsia" w:ascii="仿宋" w:hAnsi="仿宋" w:eastAsia="仿宋" w:cs="仿宋"/>
          <w:b/>
          <w:color w:val="auto"/>
          <w:sz w:val="28"/>
          <w:highlight w:val="none"/>
        </w:rPr>
        <w:t>第五章  政府采购合同</w:t>
      </w:r>
      <w:bookmarkEnd w:id="80"/>
      <w:bookmarkEnd w:id="81"/>
    </w:p>
    <w:p w14:paraId="5D492786">
      <w:pPr>
        <w:spacing w:line="480" w:lineRule="auto"/>
        <w:jc w:val="center"/>
        <w:outlineLvl w:val="1"/>
        <w:rPr>
          <w:rFonts w:hint="eastAsia" w:ascii="仿宋" w:hAnsi="仿宋" w:eastAsia="仿宋" w:cs="仿宋"/>
          <w:b/>
          <w:color w:val="auto"/>
          <w:sz w:val="32"/>
          <w:szCs w:val="32"/>
          <w:highlight w:val="none"/>
        </w:rPr>
      </w:pPr>
      <w:bookmarkStart w:id="82" w:name="_Toc8170"/>
    </w:p>
    <w:p w14:paraId="16CAB544">
      <w:pPr>
        <w:spacing w:line="480" w:lineRule="auto"/>
        <w:jc w:val="center"/>
        <w:outlineLvl w:val="1"/>
        <w:rPr>
          <w:rFonts w:hint="eastAsia" w:ascii="仿宋" w:hAnsi="仿宋" w:eastAsia="仿宋" w:cs="仿宋"/>
          <w:b/>
          <w:color w:val="auto"/>
          <w:sz w:val="32"/>
          <w:szCs w:val="32"/>
          <w:highlight w:val="none"/>
        </w:rPr>
      </w:pPr>
    </w:p>
    <w:bookmarkEnd w:id="82"/>
    <w:p w14:paraId="1E241FDE">
      <w:pPr>
        <w:spacing w:line="480" w:lineRule="auto"/>
        <w:jc w:val="center"/>
        <w:outlineLvl w:val="1"/>
        <w:rPr>
          <w:rFonts w:hint="eastAsia" w:ascii="仿宋" w:hAnsi="仿宋" w:eastAsia="仿宋" w:cs="仿宋"/>
          <w:b/>
          <w:color w:val="auto"/>
          <w:sz w:val="28"/>
          <w:szCs w:val="28"/>
          <w:highlight w:val="none"/>
        </w:rPr>
      </w:pPr>
      <w:bookmarkStart w:id="83" w:name="_Toc3714"/>
      <w:r>
        <w:rPr>
          <w:rFonts w:hint="eastAsia" w:ascii="仿宋" w:hAnsi="仿宋" w:eastAsia="仿宋" w:cs="仿宋"/>
          <w:b/>
          <w:color w:val="auto"/>
          <w:sz w:val="44"/>
          <w:szCs w:val="44"/>
          <w:highlight w:val="none"/>
        </w:rPr>
        <w:t>政府采购合同参考范本</w:t>
      </w:r>
      <w:bookmarkEnd w:id="83"/>
      <w:bookmarkStart w:id="84" w:name="_Toc8560"/>
    </w:p>
    <w:p w14:paraId="01F87D03">
      <w:pPr>
        <w:spacing w:line="48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（服务类）</w:t>
      </w:r>
      <w:bookmarkEnd w:id="84"/>
    </w:p>
    <w:p w14:paraId="78402016">
      <w:pPr>
        <w:spacing w:line="480" w:lineRule="auto"/>
        <w:jc w:val="center"/>
        <w:rPr>
          <w:rFonts w:hint="eastAsia" w:ascii="仿宋" w:hAnsi="仿宋" w:eastAsia="仿宋" w:cs="仿宋"/>
          <w:b/>
          <w:color w:val="auto"/>
          <w:sz w:val="24"/>
          <w:szCs w:val="24"/>
          <w:highlight w:val="none"/>
        </w:rPr>
      </w:pPr>
    </w:p>
    <w:p w14:paraId="13AE3ABA">
      <w:pPr>
        <w:spacing w:line="480" w:lineRule="auto"/>
        <w:jc w:val="center"/>
        <w:rPr>
          <w:rFonts w:hint="eastAsia" w:ascii="仿宋" w:hAnsi="仿宋" w:eastAsia="仿宋" w:cs="仿宋"/>
          <w:b/>
          <w:color w:val="auto"/>
          <w:sz w:val="24"/>
          <w:szCs w:val="24"/>
          <w:highlight w:val="none"/>
        </w:rPr>
      </w:pPr>
    </w:p>
    <w:p w14:paraId="702233A5">
      <w:pPr>
        <w:spacing w:line="480" w:lineRule="auto"/>
        <w:jc w:val="center"/>
        <w:rPr>
          <w:rFonts w:hint="eastAsia" w:ascii="仿宋" w:hAnsi="仿宋" w:eastAsia="仿宋" w:cs="仿宋"/>
          <w:b/>
          <w:color w:val="auto"/>
          <w:sz w:val="24"/>
          <w:szCs w:val="24"/>
          <w:highlight w:val="none"/>
        </w:rPr>
      </w:pPr>
    </w:p>
    <w:p w14:paraId="193918B4">
      <w:pPr>
        <w:spacing w:line="360" w:lineRule="auto"/>
        <w:jc w:val="center"/>
        <w:outlineLvl w:val="1"/>
        <w:rPr>
          <w:rFonts w:hint="eastAsia" w:ascii="仿宋" w:hAnsi="仿宋" w:eastAsia="仿宋" w:cs="仿宋"/>
          <w:b/>
          <w:color w:val="auto"/>
          <w:sz w:val="24"/>
          <w:highlight w:val="none"/>
        </w:rPr>
      </w:pPr>
      <w:bookmarkStart w:id="85" w:name="_Toc2449"/>
      <w:r>
        <w:rPr>
          <w:rFonts w:hint="eastAsia" w:ascii="仿宋" w:hAnsi="仿宋" w:eastAsia="仿宋" w:cs="仿宋"/>
          <w:b/>
          <w:color w:val="auto"/>
          <w:sz w:val="24"/>
          <w:highlight w:val="none"/>
        </w:rPr>
        <w:t>第一部分 合同书</w:t>
      </w:r>
      <w:bookmarkEnd w:id="85"/>
    </w:p>
    <w:p w14:paraId="7CFC98AB">
      <w:pPr>
        <w:spacing w:line="480" w:lineRule="auto"/>
        <w:jc w:val="center"/>
        <w:rPr>
          <w:rFonts w:hint="eastAsia" w:ascii="仿宋" w:hAnsi="仿宋" w:eastAsia="仿宋" w:cs="仿宋"/>
          <w:b/>
          <w:color w:val="auto"/>
          <w:sz w:val="24"/>
          <w:highlight w:val="none"/>
        </w:rPr>
      </w:pPr>
    </w:p>
    <w:p w14:paraId="2919B279">
      <w:pPr>
        <w:spacing w:line="480" w:lineRule="auto"/>
        <w:jc w:val="center"/>
        <w:rPr>
          <w:rFonts w:hint="eastAsia" w:ascii="仿宋" w:hAnsi="仿宋" w:eastAsia="仿宋" w:cs="仿宋"/>
          <w:b/>
          <w:color w:val="auto"/>
          <w:sz w:val="24"/>
          <w:highlight w:val="none"/>
        </w:rPr>
      </w:pPr>
    </w:p>
    <w:p w14:paraId="57853558">
      <w:pPr>
        <w:spacing w:line="480" w:lineRule="auto"/>
        <w:jc w:val="center"/>
        <w:rPr>
          <w:rFonts w:hint="eastAsia" w:ascii="仿宋" w:hAnsi="仿宋" w:eastAsia="仿宋" w:cs="仿宋"/>
          <w:b/>
          <w:color w:val="auto"/>
          <w:sz w:val="24"/>
          <w:highlight w:val="none"/>
        </w:rPr>
      </w:pPr>
    </w:p>
    <w:p w14:paraId="08C89B37">
      <w:pPr>
        <w:spacing w:before="120" w:line="48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i/>
          <w:iCs/>
          <w:color w:val="auto"/>
          <w:sz w:val="24"/>
          <w:highlight w:val="none"/>
        </w:rPr>
        <w:t>（分包项目须填写完整的分包号及分包名称）</w:t>
      </w:r>
    </w:p>
    <w:p w14:paraId="1B25EBE8">
      <w:pPr>
        <w:spacing w:before="120" w:line="480" w:lineRule="auto"/>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6FC512D6">
      <w:pPr>
        <w:spacing w:before="120" w:line="48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甲方（采购人）：</w:t>
      </w:r>
      <w:r>
        <w:rPr>
          <w:rFonts w:hint="eastAsia" w:ascii="仿宋" w:hAnsi="仿宋" w:eastAsia="仿宋" w:cs="仿宋"/>
          <w:color w:val="auto"/>
          <w:sz w:val="24"/>
          <w:highlight w:val="none"/>
          <w:u w:val="single"/>
        </w:rPr>
        <w:t xml:space="preserve">                             </w:t>
      </w:r>
    </w:p>
    <w:p w14:paraId="7C713F0B">
      <w:pPr>
        <w:spacing w:before="120" w:line="480" w:lineRule="auto"/>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乙方（成交供应商）：</w:t>
      </w:r>
      <w:r>
        <w:rPr>
          <w:rFonts w:hint="eastAsia" w:ascii="仿宋" w:hAnsi="仿宋" w:eastAsia="仿宋" w:cs="仿宋"/>
          <w:color w:val="auto"/>
          <w:sz w:val="24"/>
          <w:highlight w:val="none"/>
          <w:u w:val="single"/>
        </w:rPr>
        <w:t xml:space="preserve">                         </w:t>
      </w:r>
    </w:p>
    <w:p w14:paraId="73870758">
      <w:pPr>
        <w:spacing w:before="120" w:line="48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订</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地：</w:t>
      </w:r>
      <w:r>
        <w:rPr>
          <w:rFonts w:hint="eastAsia" w:ascii="仿宋" w:hAnsi="仿宋" w:eastAsia="仿宋" w:cs="仿宋"/>
          <w:color w:val="auto"/>
          <w:sz w:val="24"/>
          <w:highlight w:val="none"/>
          <w:u w:val="single"/>
        </w:rPr>
        <w:t xml:space="preserve">                                   </w:t>
      </w:r>
    </w:p>
    <w:p w14:paraId="39126194">
      <w:pPr>
        <w:spacing w:before="120"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E1B4CC8">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1C62B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六安市城市管理局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以下简称：甲方</w:t>
      </w:r>
      <w:r>
        <w:rPr>
          <w:rFonts w:hint="eastAsia" w:ascii="仿宋" w:hAnsi="仿宋" w:eastAsia="仿宋" w:cs="仿宋"/>
          <w:color w:val="auto"/>
          <w:sz w:val="24"/>
          <w:highlight w:val="none"/>
        </w:rPr>
        <w:t>）通过</w:t>
      </w:r>
      <w:r>
        <w:rPr>
          <w:rFonts w:hint="eastAsia" w:ascii="仿宋" w:hAnsi="仿宋" w:eastAsia="仿宋" w:cs="仿宋"/>
          <w:color w:val="auto"/>
          <w:sz w:val="24"/>
          <w:szCs w:val="24"/>
          <w:highlight w:val="none"/>
          <w:u w:val="single"/>
          <w:lang w:val="en-US" w:eastAsia="zh-CN"/>
        </w:rPr>
        <w:t>安徽万隆建设项目管理有限公司</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rPr>
        <w:t>竞争性谈判方式</w:t>
      </w:r>
      <w:r>
        <w:rPr>
          <w:rFonts w:hint="eastAsia" w:ascii="仿宋" w:hAnsi="仿宋" w:eastAsia="仿宋" w:cs="仿宋"/>
          <w:color w:val="auto"/>
          <w:sz w:val="24"/>
          <w:highlight w:val="none"/>
          <w:u w:val="none"/>
        </w:rPr>
        <w:t>采购活动，经</w:t>
      </w:r>
      <w:r>
        <w:rPr>
          <w:rFonts w:hint="eastAsia" w:ascii="仿宋" w:hAnsi="仿宋" w:eastAsia="仿宋" w:cs="仿宋"/>
          <w:color w:val="auto"/>
          <w:sz w:val="24"/>
          <w:highlight w:val="none"/>
          <w:u w:val="single"/>
        </w:rPr>
        <w:t>谈判小组</w:t>
      </w:r>
      <w:r>
        <w:rPr>
          <w:rFonts w:hint="eastAsia" w:ascii="仿宋" w:hAnsi="仿宋" w:eastAsia="仿宋" w:cs="仿宋"/>
          <w:color w:val="auto"/>
          <w:sz w:val="24"/>
          <w:highlight w:val="none"/>
          <w:u w:val="none"/>
        </w:rPr>
        <w:t>评</w:t>
      </w:r>
      <w:r>
        <w:rPr>
          <w:rFonts w:hint="eastAsia" w:ascii="仿宋" w:hAnsi="仿宋" w:eastAsia="仿宋" w:cs="仿宋"/>
          <w:color w:val="auto"/>
          <w:sz w:val="24"/>
          <w:highlight w:val="none"/>
        </w:rPr>
        <w:t>定，</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以下简称：乙方</w:t>
      </w:r>
      <w:r>
        <w:rPr>
          <w:rFonts w:hint="eastAsia" w:ascii="仿宋" w:hAnsi="仿宋" w:eastAsia="仿宋" w:cs="仿宋"/>
          <w:color w:val="auto"/>
          <w:sz w:val="24"/>
          <w:highlight w:val="none"/>
        </w:rPr>
        <w:t>）为本项目成交供应商，现按照采购文件确定的事项签订本合同。</w:t>
      </w:r>
    </w:p>
    <w:p w14:paraId="1A307B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F7D18B3">
      <w:pPr>
        <w:spacing w:line="360" w:lineRule="auto"/>
        <w:ind w:firstLine="437"/>
        <w:outlineLvl w:val="2"/>
        <w:rPr>
          <w:rFonts w:hint="eastAsia" w:ascii="仿宋" w:hAnsi="仿宋" w:eastAsia="仿宋" w:cs="仿宋"/>
          <w:b/>
          <w:bCs/>
          <w:color w:val="auto"/>
          <w:sz w:val="24"/>
          <w:highlight w:val="none"/>
          <w:lang w:val="zh-CN"/>
        </w:rPr>
      </w:pPr>
      <w:bookmarkStart w:id="86" w:name="_Toc24059"/>
      <w:bookmarkStart w:id="87" w:name="_Toc2232"/>
      <w:bookmarkStart w:id="88" w:name="_Toc3029"/>
      <w:r>
        <w:rPr>
          <w:rFonts w:hint="eastAsia" w:ascii="仿宋" w:hAnsi="仿宋" w:eastAsia="仿宋" w:cs="仿宋"/>
          <w:b/>
          <w:bCs/>
          <w:color w:val="auto"/>
          <w:sz w:val="24"/>
          <w:highlight w:val="none"/>
          <w:lang w:val="zh-CN"/>
        </w:rPr>
        <w:t>1.1 合同组成部分</w:t>
      </w:r>
      <w:bookmarkEnd w:id="86"/>
      <w:bookmarkEnd w:id="87"/>
      <w:bookmarkEnd w:id="88"/>
    </w:p>
    <w:p w14:paraId="33609A25">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C6CE211">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1.1.1本合同及其补充合同、变更协议；</w:t>
      </w:r>
    </w:p>
    <w:p w14:paraId="234EBE21">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1.1.2成交通知书；</w:t>
      </w:r>
    </w:p>
    <w:p w14:paraId="56030F51">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1.1.3响应文件（含澄清或者说明文件）；</w:t>
      </w:r>
    </w:p>
    <w:p w14:paraId="545351B9">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1.1.4谈判文件（含澄清或者修改文件）；</w:t>
      </w:r>
    </w:p>
    <w:p w14:paraId="05E2E85D">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1.1.5其他相关采购文件。</w:t>
      </w:r>
    </w:p>
    <w:p w14:paraId="0A1CBA07">
      <w:pPr>
        <w:spacing w:line="360" w:lineRule="auto"/>
        <w:ind w:firstLine="437"/>
        <w:outlineLvl w:val="2"/>
        <w:rPr>
          <w:rFonts w:hint="eastAsia" w:ascii="仿宋" w:hAnsi="仿宋" w:eastAsia="仿宋" w:cs="仿宋"/>
          <w:b/>
          <w:bCs/>
          <w:color w:val="auto"/>
          <w:sz w:val="24"/>
          <w:highlight w:val="none"/>
          <w:lang w:val="zh-CN"/>
        </w:rPr>
      </w:pPr>
      <w:bookmarkStart w:id="89" w:name="_Toc22185"/>
      <w:bookmarkStart w:id="90" w:name="_Toc6311"/>
      <w:bookmarkStart w:id="91" w:name="_Toc18585"/>
      <w:bookmarkStart w:id="92" w:name="_Toc6773"/>
      <w:bookmarkStart w:id="93" w:name="_Toc2918"/>
      <w:r>
        <w:rPr>
          <w:rFonts w:hint="eastAsia" w:ascii="仿宋" w:hAnsi="仿宋" w:eastAsia="仿宋" w:cs="仿宋"/>
          <w:b/>
          <w:bCs/>
          <w:color w:val="auto"/>
          <w:sz w:val="24"/>
          <w:highlight w:val="none"/>
          <w:lang w:val="zh-CN"/>
        </w:rPr>
        <w:t xml:space="preserve">1.2 </w:t>
      </w:r>
      <w:bookmarkEnd w:id="89"/>
      <w:bookmarkEnd w:id="90"/>
      <w:bookmarkEnd w:id="91"/>
      <w:bookmarkEnd w:id="92"/>
      <w:bookmarkEnd w:id="93"/>
      <w:r>
        <w:rPr>
          <w:rFonts w:hint="eastAsia" w:ascii="仿宋" w:hAnsi="仿宋" w:eastAsia="仿宋" w:cs="仿宋"/>
          <w:b/>
          <w:bCs/>
          <w:color w:val="auto"/>
          <w:sz w:val="24"/>
          <w:highlight w:val="none"/>
          <w:lang w:val="zh-CN"/>
        </w:rPr>
        <w:t>服务</w:t>
      </w:r>
    </w:p>
    <w:p w14:paraId="13035A85">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1.2.1服务名称：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839712C">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F2FE1C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1.2.3服务质量：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B57B2D8">
      <w:pPr>
        <w:spacing w:line="360" w:lineRule="auto"/>
        <w:ind w:firstLine="437"/>
        <w:outlineLvl w:val="2"/>
        <w:rPr>
          <w:rFonts w:hint="eastAsia" w:ascii="仿宋" w:hAnsi="仿宋" w:eastAsia="仿宋" w:cs="仿宋"/>
          <w:b/>
          <w:bCs/>
          <w:color w:val="auto"/>
          <w:sz w:val="24"/>
          <w:highlight w:val="none"/>
          <w:lang w:val="zh-CN"/>
        </w:rPr>
      </w:pPr>
      <w:bookmarkStart w:id="94" w:name="_Toc23292"/>
      <w:bookmarkStart w:id="95" w:name="_Toc21631"/>
      <w:bookmarkStart w:id="96" w:name="_Toc21551"/>
      <w:r>
        <w:rPr>
          <w:rFonts w:hint="eastAsia" w:ascii="仿宋" w:hAnsi="仿宋" w:eastAsia="仿宋" w:cs="仿宋"/>
          <w:b/>
          <w:bCs/>
          <w:color w:val="auto"/>
          <w:sz w:val="24"/>
          <w:highlight w:val="none"/>
          <w:lang w:val="zh-CN"/>
        </w:rPr>
        <w:t>1.3 价款</w:t>
      </w:r>
      <w:bookmarkEnd w:id="94"/>
      <w:bookmarkEnd w:id="95"/>
      <w:bookmarkEnd w:id="96"/>
    </w:p>
    <w:p w14:paraId="1487D04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7F8110AF">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4991"/>
        <w:gridCol w:w="14"/>
        <w:gridCol w:w="3729"/>
        <w:gridCol w:w="14"/>
      </w:tblGrid>
      <w:tr w14:paraId="7F5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0CE0377">
            <w:pPr>
              <w:jc w:val="center"/>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序号</w:t>
            </w:r>
          </w:p>
        </w:tc>
        <w:tc>
          <w:tcPr>
            <w:tcW w:w="2532" w:type="pct"/>
            <w:vAlign w:val="center"/>
          </w:tcPr>
          <w:p w14:paraId="7DF83C8D">
            <w:pPr>
              <w:pStyle w:val="34"/>
              <w:ind w:firstLine="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分项名称</w:t>
            </w:r>
          </w:p>
        </w:tc>
        <w:tc>
          <w:tcPr>
            <w:tcW w:w="1899" w:type="pct"/>
            <w:gridSpan w:val="2"/>
            <w:vAlign w:val="center"/>
          </w:tcPr>
          <w:p w14:paraId="34866611">
            <w:pPr>
              <w:pStyle w:val="34"/>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分项价格</w:t>
            </w:r>
          </w:p>
        </w:tc>
      </w:tr>
      <w:tr w14:paraId="678E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1C1461">
            <w:pPr>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p>
        </w:tc>
        <w:tc>
          <w:tcPr>
            <w:tcW w:w="2532" w:type="pct"/>
            <w:vAlign w:val="center"/>
          </w:tcPr>
          <w:p w14:paraId="6F282EF0">
            <w:pPr>
              <w:pStyle w:val="34"/>
              <w:ind w:firstLine="200"/>
              <w:jc w:val="center"/>
              <w:rPr>
                <w:rFonts w:hint="eastAsia" w:ascii="仿宋" w:hAnsi="仿宋" w:eastAsia="仿宋" w:cs="仿宋"/>
                <w:color w:val="auto"/>
                <w:sz w:val="24"/>
                <w:szCs w:val="24"/>
                <w:highlight w:val="none"/>
              </w:rPr>
            </w:pPr>
          </w:p>
        </w:tc>
        <w:tc>
          <w:tcPr>
            <w:tcW w:w="1899" w:type="pct"/>
            <w:gridSpan w:val="2"/>
            <w:vAlign w:val="center"/>
          </w:tcPr>
          <w:p w14:paraId="00BC35A2">
            <w:pPr>
              <w:pStyle w:val="34"/>
              <w:ind w:firstLine="200"/>
              <w:jc w:val="center"/>
              <w:rPr>
                <w:rFonts w:hint="eastAsia" w:ascii="仿宋" w:hAnsi="仿宋" w:eastAsia="仿宋" w:cs="仿宋"/>
                <w:color w:val="auto"/>
                <w:sz w:val="24"/>
                <w:szCs w:val="24"/>
                <w:highlight w:val="none"/>
              </w:rPr>
            </w:pPr>
          </w:p>
        </w:tc>
      </w:tr>
      <w:tr w14:paraId="213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E878CE5">
            <w:pPr>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w:t>
            </w:r>
          </w:p>
        </w:tc>
        <w:tc>
          <w:tcPr>
            <w:tcW w:w="2532" w:type="pct"/>
            <w:vAlign w:val="center"/>
          </w:tcPr>
          <w:p w14:paraId="20109510">
            <w:pPr>
              <w:pStyle w:val="34"/>
              <w:ind w:firstLine="200"/>
              <w:jc w:val="center"/>
              <w:rPr>
                <w:rFonts w:hint="eastAsia" w:ascii="仿宋" w:hAnsi="仿宋" w:eastAsia="仿宋" w:cs="仿宋"/>
                <w:color w:val="auto"/>
                <w:sz w:val="24"/>
                <w:szCs w:val="24"/>
                <w:highlight w:val="none"/>
              </w:rPr>
            </w:pPr>
          </w:p>
        </w:tc>
        <w:tc>
          <w:tcPr>
            <w:tcW w:w="1899" w:type="pct"/>
            <w:gridSpan w:val="2"/>
            <w:vAlign w:val="center"/>
          </w:tcPr>
          <w:p w14:paraId="52DF38AC">
            <w:pPr>
              <w:pStyle w:val="34"/>
              <w:ind w:firstLine="200"/>
              <w:jc w:val="center"/>
              <w:rPr>
                <w:rFonts w:hint="eastAsia" w:ascii="仿宋" w:hAnsi="仿宋" w:eastAsia="仿宋" w:cs="仿宋"/>
                <w:color w:val="auto"/>
                <w:sz w:val="24"/>
                <w:szCs w:val="24"/>
                <w:highlight w:val="none"/>
              </w:rPr>
            </w:pPr>
          </w:p>
        </w:tc>
      </w:tr>
      <w:tr w14:paraId="08B9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B432057">
            <w:pPr>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w:t>
            </w:r>
          </w:p>
        </w:tc>
        <w:tc>
          <w:tcPr>
            <w:tcW w:w="2532" w:type="pct"/>
            <w:vAlign w:val="center"/>
          </w:tcPr>
          <w:p w14:paraId="3A4D2535">
            <w:pPr>
              <w:pStyle w:val="34"/>
              <w:ind w:firstLine="200"/>
              <w:jc w:val="center"/>
              <w:rPr>
                <w:rFonts w:hint="eastAsia" w:ascii="仿宋" w:hAnsi="仿宋" w:eastAsia="仿宋" w:cs="仿宋"/>
                <w:color w:val="auto"/>
                <w:sz w:val="24"/>
                <w:szCs w:val="24"/>
                <w:highlight w:val="none"/>
              </w:rPr>
            </w:pPr>
          </w:p>
        </w:tc>
        <w:tc>
          <w:tcPr>
            <w:tcW w:w="1899" w:type="pct"/>
            <w:gridSpan w:val="2"/>
            <w:vAlign w:val="center"/>
          </w:tcPr>
          <w:p w14:paraId="54E95E8F">
            <w:pPr>
              <w:pStyle w:val="34"/>
              <w:ind w:firstLine="200"/>
              <w:jc w:val="center"/>
              <w:rPr>
                <w:rFonts w:hint="eastAsia" w:ascii="仿宋" w:hAnsi="仿宋" w:eastAsia="仿宋" w:cs="仿宋"/>
                <w:color w:val="auto"/>
                <w:sz w:val="24"/>
                <w:szCs w:val="24"/>
                <w:highlight w:val="none"/>
              </w:rPr>
            </w:pPr>
          </w:p>
        </w:tc>
      </w:tr>
      <w:tr w14:paraId="466F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8308D85">
            <w:pPr>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tc>
        <w:tc>
          <w:tcPr>
            <w:tcW w:w="2532" w:type="pct"/>
            <w:vAlign w:val="center"/>
          </w:tcPr>
          <w:p w14:paraId="089C2B54">
            <w:pPr>
              <w:pStyle w:val="34"/>
              <w:ind w:firstLine="200"/>
              <w:jc w:val="center"/>
              <w:rPr>
                <w:rFonts w:hint="eastAsia" w:ascii="仿宋" w:hAnsi="仿宋" w:eastAsia="仿宋" w:cs="仿宋"/>
                <w:color w:val="auto"/>
                <w:sz w:val="24"/>
                <w:szCs w:val="24"/>
                <w:highlight w:val="none"/>
              </w:rPr>
            </w:pPr>
          </w:p>
        </w:tc>
        <w:tc>
          <w:tcPr>
            <w:tcW w:w="1899" w:type="pct"/>
            <w:gridSpan w:val="2"/>
            <w:vAlign w:val="center"/>
          </w:tcPr>
          <w:p w14:paraId="0F91BAEA">
            <w:pPr>
              <w:pStyle w:val="34"/>
              <w:ind w:firstLine="200"/>
              <w:jc w:val="center"/>
              <w:rPr>
                <w:rFonts w:hint="eastAsia" w:ascii="仿宋" w:hAnsi="仿宋" w:eastAsia="仿宋" w:cs="仿宋"/>
                <w:color w:val="auto"/>
                <w:sz w:val="24"/>
                <w:szCs w:val="24"/>
                <w:highlight w:val="none"/>
              </w:rPr>
            </w:pPr>
          </w:p>
        </w:tc>
      </w:tr>
      <w:tr w14:paraId="461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A59CC52">
            <w:pPr>
              <w:pStyle w:val="34"/>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899" w:type="pct"/>
            <w:gridSpan w:val="2"/>
            <w:vAlign w:val="center"/>
          </w:tcPr>
          <w:p w14:paraId="1F25CEEE">
            <w:pPr>
              <w:pStyle w:val="34"/>
              <w:ind w:firstLine="200"/>
              <w:jc w:val="center"/>
              <w:rPr>
                <w:rFonts w:hint="eastAsia" w:ascii="仿宋" w:hAnsi="仿宋" w:eastAsia="仿宋" w:cs="仿宋"/>
                <w:color w:val="auto"/>
                <w:sz w:val="24"/>
                <w:szCs w:val="24"/>
                <w:highlight w:val="none"/>
              </w:rPr>
            </w:pPr>
          </w:p>
        </w:tc>
      </w:tr>
    </w:tbl>
    <w:p w14:paraId="1995516E">
      <w:pPr>
        <w:spacing w:line="360" w:lineRule="auto"/>
        <w:ind w:firstLine="437"/>
        <w:outlineLvl w:val="2"/>
        <w:rPr>
          <w:rFonts w:hint="eastAsia" w:ascii="仿宋" w:hAnsi="仿宋" w:eastAsia="仿宋" w:cs="仿宋"/>
          <w:b/>
          <w:bCs/>
          <w:color w:val="auto"/>
          <w:sz w:val="24"/>
          <w:highlight w:val="none"/>
          <w:lang w:val="zh-CN"/>
        </w:rPr>
      </w:pPr>
      <w:bookmarkStart w:id="97" w:name="_Toc10340"/>
      <w:bookmarkStart w:id="98" w:name="_Toc1814"/>
      <w:bookmarkStart w:id="99" w:name="_Toc22618"/>
      <w:r>
        <w:rPr>
          <w:rFonts w:hint="eastAsia" w:ascii="仿宋" w:hAnsi="仿宋" w:eastAsia="仿宋" w:cs="仿宋"/>
          <w:b/>
          <w:bCs/>
          <w:color w:val="auto"/>
          <w:sz w:val="24"/>
          <w:highlight w:val="none"/>
          <w:lang w:val="zh-CN"/>
        </w:rPr>
        <w:t>1.4 付款方式和发票开具方式</w:t>
      </w:r>
      <w:bookmarkEnd w:id="97"/>
      <w:bookmarkEnd w:id="98"/>
      <w:bookmarkEnd w:id="99"/>
    </w:p>
    <w:p w14:paraId="3D36B30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u w:val="single"/>
          <w:lang w:val="en-US" w:eastAsia="zh-CN"/>
        </w:rPr>
        <w:t>提交清查报告，经确认合格后，按成交价格、据实结算支付</w:t>
      </w:r>
      <w:r>
        <w:rPr>
          <w:rFonts w:hint="eastAsia" w:ascii="仿宋" w:hAnsi="仿宋" w:eastAsia="仿宋" w:cs="仿宋"/>
          <w:color w:val="auto"/>
          <w:sz w:val="24"/>
          <w:highlight w:val="none"/>
        </w:rPr>
        <w:t>；</w:t>
      </w:r>
    </w:p>
    <w:p w14:paraId="4E88910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1.4.2发票开具方式：</w:t>
      </w:r>
      <w:r>
        <w:rPr>
          <w:rFonts w:hint="eastAsia" w:ascii="仿宋" w:hAnsi="仿宋" w:eastAsia="仿宋" w:cs="仿宋"/>
          <w:color w:val="auto"/>
          <w:sz w:val="24"/>
          <w:szCs w:val="24"/>
          <w:highlight w:val="none"/>
          <w:u w:val="single"/>
        </w:rPr>
        <w:t>增值税发票</w:t>
      </w:r>
      <w:r>
        <w:rPr>
          <w:rFonts w:hint="eastAsia" w:ascii="仿宋" w:hAnsi="仿宋" w:eastAsia="仿宋" w:cs="仿宋"/>
          <w:color w:val="auto"/>
          <w:sz w:val="24"/>
          <w:highlight w:val="none"/>
        </w:rPr>
        <w:t>。</w:t>
      </w:r>
    </w:p>
    <w:p w14:paraId="3921E2F3">
      <w:pPr>
        <w:spacing w:line="360" w:lineRule="auto"/>
        <w:ind w:firstLine="437"/>
        <w:outlineLvl w:val="2"/>
        <w:rPr>
          <w:rFonts w:hint="eastAsia" w:ascii="仿宋" w:hAnsi="仿宋" w:eastAsia="仿宋" w:cs="仿宋"/>
          <w:b/>
          <w:bCs/>
          <w:color w:val="auto"/>
          <w:sz w:val="24"/>
          <w:highlight w:val="none"/>
          <w:lang w:val="zh-CN"/>
        </w:rPr>
      </w:pPr>
      <w:bookmarkStart w:id="100" w:name="_Toc19304"/>
      <w:bookmarkStart w:id="101" w:name="_Toc2846"/>
      <w:bookmarkStart w:id="102" w:name="_Toc32071"/>
      <w:r>
        <w:rPr>
          <w:rFonts w:hint="eastAsia" w:ascii="仿宋" w:hAnsi="仿宋" w:eastAsia="仿宋" w:cs="仿宋"/>
          <w:b/>
          <w:bCs/>
          <w:color w:val="auto"/>
          <w:sz w:val="24"/>
          <w:highlight w:val="none"/>
          <w:lang w:val="zh-CN"/>
        </w:rPr>
        <w:t>1.5 服务期限、地点和方式</w:t>
      </w:r>
      <w:bookmarkEnd w:id="100"/>
      <w:bookmarkEnd w:id="101"/>
      <w:bookmarkEnd w:id="102"/>
    </w:p>
    <w:p w14:paraId="1304D566">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1.5.1服务期限：</w:t>
      </w:r>
      <w:r>
        <w:rPr>
          <w:rFonts w:hint="eastAsia" w:ascii="仿宋" w:hAnsi="仿宋" w:eastAsia="仿宋" w:cs="仿宋"/>
          <w:color w:val="auto"/>
          <w:sz w:val="24"/>
          <w:highlight w:val="none"/>
          <w:u w:val="single"/>
          <w:lang w:val="en-US" w:eastAsia="zh-CN"/>
        </w:rPr>
        <w:t>自合同签订起到2026年6月25日止</w:t>
      </w:r>
      <w:r>
        <w:rPr>
          <w:rFonts w:hint="eastAsia" w:ascii="仿宋" w:hAnsi="仿宋" w:eastAsia="仿宋" w:cs="仿宋"/>
          <w:color w:val="auto"/>
          <w:sz w:val="24"/>
          <w:highlight w:val="none"/>
        </w:rPr>
        <w:t>；</w:t>
      </w:r>
    </w:p>
    <w:p w14:paraId="0EDDD20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1.5.2服务地点：</w:t>
      </w:r>
      <w:r>
        <w:rPr>
          <w:rFonts w:hint="eastAsia" w:ascii="仿宋" w:hAnsi="仿宋" w:eastAsia="仿宋" w:cs="仿宋"/>
          <w:color w:val="auto"/>
          <w:sz w:val="24"/>
          <w:highlight w:val="none"/>
          <w:u w:val="single"/>
          <w:lang w:val="en-US" w:eastAsia="zh-CN"/>
        </w:rPr>
        <w:t>六安市境内</w:t>
      </w:r>
      <w:r>
        <w:rPr>
          <w:rFonts w:hint="eastAsia" w:ascii="仿宋" w:hAnsi="仿宋" w:eastAsia="仿宋" w:cs="仿宋"/>
          <w:color w:val="auto"/>
          <w:sz w:val="24"/>
          <w:highlight w:val="none"/>
        </w:rPr>
        <w:t>；</w:t>
      </w:r>
    </w:p>
    <w:p w14:paraId="5563CE6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1.5.3服务方式：</w:t>
      </w:r>
      <w:r>
        <w:rPr>
          <w:rFonts w:hint="eastAsia" w:ascii="仿宋" w:hAnsi="仿宋" w:eastAsia="仿宋" w:cs="仿宋"/>
          <w:color w:val="auto"/>
          <w:sz w:val="24"/>
          <w:highlight w:val="none"/>
          <w:u w:val="single"/>
          <w:lang w:val="en-US" w:eastAsia="zh-CN"/>
        </w:rPr>
        <w:t>现场服务</w:t>
      </w:r>
      <w:r>
        <w:rPr>
          <w:rFonts w:hint="eastAsia" w:ascii="仿宋" w:hAnsi="仿宋" w:eastAsia="仿宋" w:cs="仿宋"/>
          <w:color w:val="auto"/>
          <w:sz w:val="24"/>
          <w:highlight w:val="none"/>
        </w:rPr>
        <w:t>。</w:t>
      </w:r>
    </w:p>
    <w:p w14:paraId="70356AE8">
      <w:pPr>
        <w:spacing w:line="360" w:lineRule="auto"/>
        <w:ind w:firstLine="437"/>
        <w:outlineLvl w:val="2"/>
        <w:rPr>
          <w:rFonts w:hint="eastAsia" w:ascii="仿宋" w:hAnsi="仿宋" w:eastAsia="仿宋" w:cs="仿宋"/>
          <w:b/>
          <w:bCs/>
          <w:color w:val="auto"/>
          <w:sz w:val="24"/>
          <w:highlight w:val="none"/>
          <w:lang w:val="zh-CN"/>
        </w:rPr>
      </w:pPr>
      <w:bookmarkStart w:id="103" w:name="_Toc27250"/>
      <w:bookmarkStart w:id="104" w:name="_Toc21423"/>
      <w:bookmarkStart w:id="105" w:name="_Toc19554"/>
      <w:r>
        <w:rPr>
          <w:rFonts w:hint="eastAsia" w:ascii="仿宋" w:hAnsi="仿宋" w:eastAsia="仿宋" w:cs="仿宋"/>
          <w:b/>
          <w:bCs/>
          <w:color w:val="auto"/>
          <w:sz w:val="24"/>
          <w:highlight w:val="none"/>
          <w:lang w:val="zh-CN"/>
        </w:rPr>
        <w:t>1.6 违约责任</w:t>
      </w:r>
      <w:bookmarkEnd w:id="103"/>
      <w:bookmarkEnd w:id="104"/>
      <w:bookmarkEnd w:id="105"/>
    </w:p>
    <w:p w14:paraId="3994187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5CFB525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1.6.2除不可抗力外，如果甲方没有按照本合同约定的付款方式付款，那么乙方可要求甲方支付违约金，违约金按每迟延付款一日的应付而未付款的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27201FB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F6256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506CEF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1F0BB9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25EEFA3D">
      <w:pPr>
        <w:spacing w:line="360" w:lineRule="auto"/>
        <w:ind w:firstLine="435"/>
        <w:rPr>
          <w:rFonts w:hint="eastAsia" w:ascii="仿宋" w:hAnsi="仿宋" w:eastAsia="仿宋" w:cs="仿宋"/>
          <w:color w:val="auto"/>
          <w:sz w:val="24"/>
          <w:szCs w:val="24"/>
          <w:highlight w:val="none"/>
        </w:rPr>
      </w:pPr>
      <w:bookmarkStart w:id="106" w:name="_Toc28375"/>
      <w:bookmarkStart w:id="107" w:name="_Toc16021"/>
      <w:bookmarkStart w:id="108" w:name="_Toc15583"/>
      <w:r>
        <w:rPr>
          <w:rFonts w:hint="eastAsia" w:ascii="仿宋" w:hAnsi="仿宋" w:eastAsia="仿宋" w:cs="仿宋"/>
          <w:color w:val="auto"/>
          <w:sz w:val="24"/>
          <w:szCs w:val="24"/>
          <w:highlight w:val="none"/>
        </w:rPr>
        <w:t>1.6.7因甲方未按合同约定支付价款、未按合同约定受领标的物、擅自解除合同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44AD7737">
      <w:pPr>
        <w:spacing w:line="360" w:lineRule="auto"/>
        <w:ind w:firstLine="437"/>
        <w:outlineLvl w:val="2"/>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1.7 合同争议的解决</w:t>
      </w:r>
      <w:bookmarkEnd w:id="106"/>
      <w:bookmarkEnd w:id="107"/>
      <w:bookmarkEnd w:id="108"/>
    </w:p>
    <w:p w14:paraId="4B74280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highlight w:val="none"/>
          <w:u w:val="single"/>
        </w:rPr>
        <w:t>1.7.2</w:t>
      </w:r>
      <w:r>
        <w:rPr>
          <w:rFonts w:hint="eastAsia" w:ascii="仿宋" w:hAnsi="仿宋" w:eastAsia="仿宋" w:cs="仿宋"/>
          <w:color w:val="auto"/>
          <w:sz w:val="24"/>
          <w:highlight w:val="none"/>
        </w:rPr>
        <w:t>种方式解决：</w:t>
      </w:r>
    </w:p>
    <w:p w14:paraId="78F6D46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1.7.1将争议提交</w:t>
      </w:r>
      <w:r>
        <w:rPr>
          <w:rFonts w:hint="eastAsia" w:ascii="仿宋" w:hAnsi="仿宋" w:eastAsia="仿宋" w:cs="仿宋"/>
          <w:color w:val="auto"/>
          <w:sz w:val="24"/>
          <w:szCs w:val="24"/>
          <w:highlight w:val="none"/>
          <w:u w:val="single"/>
        </w:rPr>
        <w:t>项目所在地</w:t>
      </w:r>
      <w:r>
        <w:rPr>
          <w:rFonts w:hint="eastAsia" w:ascii="仿宋" w:hAnsi="仿宋" w:eastAsia="仿宋" w:cs="仿宋"/>
          <w:color w:val="auto"/>
          <w:sz w:val="24"/>
          <w:highlight w:val="none"/>
        </w:rPr>
        <w:t>仲裁委员会依申请仲裁时其现行有效的仲裁规则裁决；</w:t>
      </w:r>
    </w:p>
    <w:p w14:paraId="25362FB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1.7.2向</w:t>
      </w:r>
      <w:r>
        <w:rPr>
          <w:rFonts w:hint="eastAsia" w:ascii="仿宋" w:hAnsi="仿宋" w:eastAsia="仿宋" w:cs="仿宋"/>
          <w:color w:val="auto"/>
          <w:sz w:val="24"/>
          <w:szCs w:val="24"/>
          <w:highlight w:val="none"/>
          <w:u w:val="single"/>
        </w:rPr>
        <w:t>项目所在地</w:t>
      </w:r>
      <w:r>
        <w:rPr>
          <w:rFonts w:hint="eastAsia" w:ascii="仿宋" w:hAnsi="仿宋" w:eastAsia="仿宋" w:cs="仿宋"/>
          <w:color w:val="auto"/>
          <w:sz w:val="24"/>
          <w:highlight w:val="none"/>
        </w:rPr>
        <w:t>人民法院起诉。</w:t>
      </w:r>
    </w:p>
    <w:p w14:paraId="7171FD2C">
      <w:pPr>
        <w:spacing w:line="360" w:lineRule="auto"/>
        <w:ind w:firstLine="437"/>
        <w:outlineLvl w:val="2"/>
        <w:rPr>
          <w:rFonts w:hint="default" w:ascii="仿宋" w:hAnsi="仿宋" w:eastAsia="仿宋" w:cs="仿宋"/>
          <w:b/>
          <w:bCs/>
          <w:color w:val="auto"/>
          <w:sz w:val="24"/>
          <w:highlight w:val="none"/>
          <w:lang w:val="en-US" w:eastAsia="zh-CN"/>
        </w:rPr>
      </w:pPr>
      <w:bookmarkStart w:id="109" w:name="_Toc7245"/>
      <w:bookmarkStart w:id="110" w:name="_Toc11173"/>
      <w:bookmarkStart w:id="111" w:name="_Toc15322"/>
      <w:r>
        <w:rPr>
          <w:rFonts w:hint="eastAsia" w:ascii="仿宋" w:hAnsi="仿宋" w:eastAsia="仿宋" w:cs="仿宋"/>
          <w:b/>
          <w:bCs/>
          <w:color w:val="auto"/>
          <w:sz w:val="24"/>
          <w:highlight w:val="none"/>
          <w:lang w:val="zh-CN"/>
        </w:rPr>
        <w:t>1.8 合同生效</w:t>
      </w:r>
      <w:bookmarkEnd w:id="109"/>
      <w:bookmarkEnd w:id="110"/>
      <w:bookmarkEnd w:id="111"/>
      <w:r>
        <w:rPr>
          <w:rFonts w:hint="eastAsia" w:ascii="仿宋" w:hAnsi="仿宋" w:eastAsia="仿宋" w:cs="仿宋"/>
          <w:b/>
          <w:bCs/>
          <w:color w:val="auto"/>
          <w:sz w:val="24"/>
          <w:highlight w:val="none"/>
          <w:lang w:val="en-US" w:eastAsia="zh-CN"/>
        </w:rPr>
        <w:t xml:space="preserve">              </w:t>
      </w:r>
    </w:p>
    <w:p w14:paraId="5AFB0A8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本合同自双方当事人盖章时生效。</w:t>
      </w:r>
    </w:p>
    <w:p w14:paraId="69205813">
      <w:pP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br w:type="page"/>
      </w:r>
    </w:p>
    <w:p w14:paraId="611A5B43">
      <w:pPr>
        <w:widowControl w:val="0"/>
        <w:spacing w:after="120" w:line="400" w:lineRule="atLeast"/>
        <w:jc w:val="both"/>
        <w:rPr>
          <w:rFonts w:hint="eastAsia" w:ascii="仿宋" w:hAnsi="仿宋" w:eastAsia="仿宋" w:cs="仿宋"/>
          <w:b w:val="0"/>
          <w:bCs w:val="0"/>
          <w:color w:val="auto"/>
          <w:kern w:val="2"/>
          <w:sz w:val="24"/>
          <w:szCs w:val="20"/>
          <w:highlight w:val="none"/>
          <w:lang w:val="en-US" w:eastAsia="zh-CN" w:bidi="ar-SA"/>
        </w:rPr>
      </w:pPr>
      <w:r>
        <w:rPr>
          <w:rFonts w:hint="eastAsia" w:ascii="仿宋" w:hAnsi="仿宋" w:eastAsia="仿宋" w:cs="仿宋"/>
          <w:b w:val="0"/>
          <w:bCs w:val="0"/>
          <w:color w:val="auto"/>
          <w:kern w:val="2"/>
          <w:sz w:val="24"/>
          <w:szCs w:val="20"/>
          <w:highlight w:val="none"/>
          <w:lang w:val="en-US" w:eastAsia="zh-CN" w:bidi="ar-SA"/>
        </w:rPr>
        <w:t>（签字盖章页）</w:t>
      </w:r>
    </w:p>
    <w:p w14:paraId="3231848E">
      <w:pPr>
        <w:spacing w:line="360" w:lineRule="auto"/>
        <w:ind w:firstLine="435"/>
        <w:rPr>
          <w:rFonts w:hint="eastAsia" w:ascii="仿宋" w:hAnsi="仿宋" w:eastAsia="仿宋" w:cs="仿宋"/>
          <w:color w:val="auto"/>
          <w:sz w:val="24"/>
          <w:szCs w:val="24"/>
          <w:highlight w:val="none"/>
          <w:lang w:val="zh-CN"/>
        </w:rPr>
      </w:pPr>
    </w:p>
    <w:tbl>
      <w:tblPr>
        <w:tblStyle w:val="17"/>
        <w:tblW w:w="4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7"/>
        <w:gridCol w:w="6924"/>
      </w:tblGrid>
      <w:tr w14:paraId="57F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AA13592">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 w:hAnsi="仿宋" w:eastAsia="仿宋" w:cs="仿宋"/>
                <w:color w:val="auto"/>
                <w:sz w:val="24"/>
                <w:szCs w:val="24"/>
                <w:highlight w:val="none"/>
                <w:vertAlign w:val="baseline"/>
                <w:lang w:val="zh-CN"/>
              </w:rPr>
            </w:pPr>
            <w:r>
              <w:rPr>
                <w:rFonts w:hint="eastAsia" w:ascii="仿宋" w:hAnsi="仿宋" w:eastAsia="仿宋" w:cs="仿宋"/>
                <w:b/>
                <w:bCs w:val="0"/>
                <w:color w:val="auto"/>
                <w:sz w:val="24"/>
                <w:szCs w:val="24"/>
                <w:highlight w:val="none"/>
                <w:lang w:val="zh-CN"/>
              </w:rPr>
              <w:t>甲方</w:t>
            </w:r>
            <w:r>
              <w:rPr>
                <w:rFonts w:hint="eastAsia" w:ascii="仿宋" w:hAnsi="仿宋" w:eastAsia="仿宋" w:cs="仿宋"/>
                <w:b/>
                <w:bCs w:val="0"/>
                <w:color w:val="auto"/>
                <w:sz w:val="24"/>
                <w:szCs w:val="24"/>
                <w:highlight w:val="none"/>
                <w:u w:val="none"/>
                <w:lang w:val="zh-CN"/>
              </w:rPr>
              <w:t>（盖章）</w:t>
            </w:r>
            <w:r>
              <w:rPr>
                <w:rFonts w:hint="eastAsia" w:ascii="仿宋" w:hAnsi="仿宋" w:eastAsia="仿宋" w:cs="仿宋"/>
                <w:b/>
                <w:bCs w:val="0"/>
                <w:color w:val="auto"/>
                <w:sz w:val="24"/>
                <w:szCs w:val="24"/>
                <w:highlight w:val="none"/>
                <w:lang w:val="zh-CN"/>
              </w:rPr>
              <w:t>：</w:t>
            </w:r>
          </w:p>
        </w:tc>
      </w:tr>
      <w:tr w14:paraId="663B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vAlign w:val="center"/>
          </w:tcPr>
          <w:p w14:paraId="473B8DA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 w:hAnsi="仿宋" w:eastAsia="仿宋" w:cs="仿宋"/>
                <w:color w:val="auto"/>
                <w:sz w:val="24"/>
                <w:szCs w:val="24"/>
                <w:highlight w:val="none"/>
                <w:vertAlign w:val="baseline"/>
                <w:lang w:val="zh-CN"/>
              </w:rPr>
            </w:pPr>
            <w:r>
              <w:rPr>
                <w:rFonts w:hint="eastAsia" w:ascii="仿宋" w:hAnsi="仿宋" w:eastAsia="仿宋" w:cs="仿宋"/>
                <w:color w:val="auto"/>
                <w:sz w:val="24"/>
                <w:szCs w:val="24"/>
                <w:highlight w:val="none"/>
                <w:lang w:val="zh-CN"/>
              </w:rPr>
              <w:t>法定代表人或授权代表（签字）：</w:t>
            </w:r>
          </w:p>
        </w:tc>
        <w:tc>
          <w:tcPr>
            <w:tcW w:w="3725" w:type="pct"/>
            <w:vAlign w:val="center"/>
          </w:tcPr>
          <w:p w14:paraId="07F2053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 w:hAnsi="仿宋" w:eastAsia="仿宋" w:cs="仿宋"/>
                <w:color w:val="auto"/>
                <w:sz w:val="24"/>
                <w:szCs w:val="24"/>
                <w:highlight w:val="none"/>
                <w:vertAlign w:val="baseline"/>
                <w:lang w:val="zh-CN"/>
              </w:rPr>
            </w:pPr>
          </w:p>
        </w:tc>
      </w:tr>
      <w:tr w14:paraId="38F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7F48E35">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 w:hAnsi="仿宋" w:eastAsia="仿宋" w:cs="仿宋"/>
                <w:color w:val="auto"/>
                <w:sz w:val="24"/>
                <w:szCs w:val="24"/>
                <w:highlight w:val="none"/>
                <w:vertAlign w:val="baseline"/>
                <w:lang w:val="zh-CN"/>
              </w:rPr>
            </w:pP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间：</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日</w:t>
            </w:r>
          </w:p>
        </w:tc>
      </w:tr>
      <w:tr w14:paraId="1B23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77BDB956">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 w:hAnsi="仿宋" w:eastAsia="仿宋" w:cs="仿宋"/>
                <w:bCs/>
                <w:color w:val="auto"/>
                <w:sz w:val="24"/>
                <w:szCs w:val="24"/>
                <w:highlight w:val="none"/>
              </w:rPr>
            </w:pPr>
          </w:p>
        </w:tc>
      </w:tr>
      <w:tr w14:paraId="4D53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4650B8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乙</w:t>
            </w:r>
            <w:r>
              <w:rPr>
                <w:rFonts w:hint="eastAsia" w:ascii="仿宋" w:hAnsi="仿宋" w:eastAsia="仿宋" w:cs="仿宋"/>
                <w:b/>
                <w:bCs w:val="0"/>
                <w:color w:val="auto"/>
                <w:sz w:val="24"/>
                <w:szCs w:val="24"/>
                <w:highlight w:val="none"/>
                <w:lang w:val="zh-CN"/>
              </w:rPr>
              <w:t>方</w:t>
            </w:r>
            <w:r>
              <w:rPr>
                <w:rFonts w:hint="eastAsia" w:ascii="仿宋" w:hAnsi="仿宋" w:eastAsia="仿宋" w:cs="仿宋"/>
                <w:b/>
                <w:bCs w:val="0"/>
                <w:color w:val="auto"/>
                <w:sz w:val="24"/>
                <w:szCs w:val="24"/>
                <w:highlight w:val="none"/>
                <w:u w:val="none"/>
                <w:lang w:val="zh-CN"/>
              </w:rPr>
              <w:t>（盖章）</w:t>
            </w:r>
            <w:r>
              <w:rPr>
                <w:rFonts w:hint="eastAsia" w:ascii="仿宋" w:hAnsi="仿宋" w:eastAsia="仿宋" w:cs="仿宋"/>
                <w:b/>
                <w:bCs w:val="0"/>
                <w:color w:val="auto"/>
                <w:sz w:val="24"/>
                <w:szCs w:val="24"/>
                <w:highlight w:val="none"/>
                <w:lang w:val="zh-CN"/>
              </w:rPr>
              <w:t>：</w:t>
            </w:r>
          </w:p>
        </w:tc>
      </w:tr>
      <w:tr w14:paraId="18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shd w:val="clear" w:color="auto" w:fill="auto"/>
            <w:vAlign w:val="center"/>
          </w:tcPr>
          <w:p w14:paraId="260026F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 w:hAnsi="仿宋" w:eastAsia="仿宋" w:cs="仿宋"/>
                <w:color w:val="auto"/>
                <w:kern w:val="2"/>
                <w:sz w:val="24"/>
                <w:szCs w:val="24"/>
                <w:highlight w:val="none"/>
                <w:vertAlign w:val="baseline"/>
                <w:lang w:val="zh-CN" w:eastAsia="zh-CN" w:bidi="ar-SA"/>
              </w:rPr>
            </w:pPr>
            <w:r>
              <w:rPr>
                <w:rFonts w:hint="eastAsia" w:ascii="仿宋" w:hAnsi="仿宋" w:eastAsia="仿宋" w:cs="仿宋"/>
                <w:color w:val="auto"/>
                <w:sz w:val="24"/>
                <w:szCs w:val="24"/>
                <w:highlight w:val="none"/>
                <w:lang w:val="zh-CN"/>
              </w:rPr>
              <w:t>法定代表人或授权代表（签字）：</w:t>
            </w:r>
          </w:p>
        </w:tc>
        <w:tc>
          <w:tcPr>
            <w:tcW w:w="3725" w:type="pct"/>
            <w:shd w:val="clear" w:color="auto" w:fill="auto"/>
            <w:vAlign w:val="center"/>
          </w:tcPr>
          <w:p w14:paraId="44B5EA38">
            <w:pPr>
              <w:keepNext w:val="0"/>
              <w:keepLines w:val="0"/>
              <w:pageBreakBefore w:val="0"/>
              <w:widowControl w:val="0"/>
              <w:kinsoku/>
              <w:wordWrap/>
              <w:overflowPunct/>
              <w:topLinePunct w:val="0"/>
              <w:bidi w:val="0"/>
              <w:snapToGrid w:val="0"/>
              <w:spacing w:line="600" w:lineRule="exact"/>
              <w:jc w:val="left"/>
              <w:textAlignment w:val="auto"/>
              <w:rPr>
                <w:rFonts w:hint="eastAsia" w:ascii="仿宋" w:hAnsi="仿宋" w:eastAsia="仿宋" w:cs="仿宋"/>
                <w:color w:val="auto"/>
                <w:sz w:val="24"/>
                <w:szCs w:val="24"/>
                <w:highlight w:val="none"/>
                <w:vertAlign w:val="baseline"/>
                <w:lang w:val="zh-CN"/>
              </w:rPr>
            </w:pPr>
          </w:p>
        </w:tc>
      </w:tr>
      <w:tr w14:paraId="672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EEC5244">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间：</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日</w:t>
            </w:r>
          </w:p>
        </w:tc>
      </w:tr>
      <w:tr w14:paraId="639A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11A94F4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 w:hAnsi="仿宋" w:eastAsia="仿宋" w:cs="仿宋"/>
                <w:b/>
                <w:bCs w:val="0"/>
                <w:color w:val="auto"/>
                <w:kern w:val="2"/>
                <w:sz w:val="24"/>
                <w:szCs w:val="24"/>
                <w:highlight w:val="none"/>
                <w:lang w:val="zh-CN" w:eastAsia="zh-CN" w:bidi="ar-SA"/>
              </w:rPr>
            </w:pPr>
          </w:p>
        </w:tc>
      </w:tr>
      <w:tr w14:paraId="77D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311E9FF4">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 w:hAnsi="仿宋" w:eastAsia="仿宋" w:cs="仿宋"/>
                <w:b/>
                <w:bCs w:val="0"/>
                <w:color w:val="auto"/>
                <w:sz w:val="24"/>
                <w:szCs w:val="24"/>
                <w:highlight w:val="none"/>
                <w:lang w:val="en-US" w:eastAsia="zh-CN"/>
              </w:rPr>
            </w:pPr>
          </w:p>
        </w:tc>
      </w:tr>
      <w:tr w14:paraId="0C6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639CAAC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 w:hAnsi="仿宋" w:eastAsia="仿宋" w:cs="仿宋"/>
                <w:b/>
                <w:bCs w:val="0"/>
                <w:color w:val="auto"/>
                <w:sz w:val="24"/>
                <w:szCs w:val="24"/>
                <w:highlight w:val="none"/>
                <w:lang w:val="en-US" w:eastAsia="zh-CN"/>
              </w:rPr>
            </w:pPr>
          </w:p>
        </w:tc>
      </w:tr>
    </w:tbl>
    <w:p w14:paraId="4468B74B">
      <w:pPr>
        <w:widowControl/>
        <w:spacing w:line="560" w:lineRule="exact"/>
        <w:jc w:val="left"/>
        <w:rPr>
          <w:rFonts w:hint="eastAsia" w:ascii="仿宋" w:hAnsi="仿宋" w:eastAsia="仿宋" w:cs="仿宋"/>
          <w:bCs/>
          <w:color w:val="auto"/>
          <w:sz w:val="24"/>
          <w:szCs w:val="24"/>
          <w:highlight w:val="none"/>
          <w:u w:val="single"/>
        </w:rPr>
      </w:pPr>
      <w:bookmarkStart w:id="112" w:name="_Toc331685783"/>
    </w:p>
    <w:p w14:paraId="5F9AC8B7">
      <w:pPr>
        <w:widowControl/>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64E49A73">
      <w:pPr>
        <w:spacing w:line="360" w:lineRule="auto"/>
        <w:jc w:val="center"/>
        <w:outlineLvl w:val="1"/>
        <w:rPr>
          <w:rFonts w:hint="eastAsia" w:ascii="仿宋" w:hAnsi="仿宋" w:eastAsia="仿宋" w:cs="仿宋"/>
          <w:b/>
          <w:color w:val="auto"/>
          <w:sz w:val="24"/>
          <w:highlight w:val="none"/>
        </w:rPr>
      </w:pPr>
      <w:bookmarkStart w:id="113" w:name="_Toc8809"/>
      <w:r>
        <w:rPr>
          <w:rFonts w:hint="eastAsia" w:ascii="仿宋" w:hAnsi="仿宋" w:eastAsia="仿宋" w:cs="仿宋"/>
          <w:b/>
          <w:color w:val="auto"/>
          <w:sz w:val="24"/>
          <w:highlight w:val="none"/>
        </w:rPr>
        <w:t>第二部分 合同一般条款</w:t>
      </w:r>
      <w:bookmarkEnd w:id="112"/>
      <w:bookmarkEnd w:id="113"/>
    </w:p>
    <w:p w14:paraId="48965C27">
      <w:pPr>
        <w:spacing w:line="360" w:lineRule="auto"/>
        <w:ind w:firstLine="437"/>
        <w:outlineLvl w:val="2"/>
        <w:rPr>
          <w:rFonts w:hint="eastAsia" w:ascii="仿宋" w:hAnsi="仿宋" w:eastAsia="仿宋" w:cs="仿宋"/>
          <w:b/>
          <w:bCs/>
          <w:color w:val="auto"/>
          <w:sz w:val="24"/>
          <w:highlight w:val="none"/>
          <w:lang w:val="zh-CN"/>
        </w:rPr>
      </w:pPr>
      <w:bookmarkStart w:id="114" w:name="_Toc19614"/>
      <w:bookmarkStart w:id="115" w:name="_Ref467379109"/>
      <w:bookmarkStart w:id="116" w:name="_Ref467379214"/>
      <w:bookmarkStart w:id="117" w:name="_Toc28763"/>
      <w:bookmarkStart w:id="118" w:name="_Ref467379225"/>
      <w:bookmarkStart w:id="119" w:name="_Toc16917"/>
      <w:bookmarkStart w:id="120" w:name="_Toc487900349"/>
      <w:bookmarkStart w:id="121" w:name="_Ref467378499"/>
      <w:bookmarkStart w:id="122" w:name="_Ref467379205"/>
      <w:bookmarkStart w:id="123" w:name="_Ref467378463"/>
      <w:bookmarkStart w:id="124" w:name="_Ref467379094"/>
      <w:bookmarkStart w:id="125" w:name="_Ref467378404"/>
      <w:bookmarkStart w:id="126" w:name="_Ref467379101"/>
      <w:bookmarkStart w:id="127" w:name="_Toc279701240"/>
      <w:bookmarkStart w:id="128" w:name="_Toc259093669"/>
      <w:bookmarkStart w:id="129" w:name="_Ref467379195"/>
      <w:r>
        <w:rPr>
          <w:rFonts w:hint="eastAsia" w:ascii="仿宋" w:hAnsi="仿宋" w:eastAsia="仿宋" w:cs="仿宋"/>
          <w:b/>
          <w:bCs/>
          <w:color w:val="auto"/>
          <w:sz w:val="24"/>
          <w:highlight w:val="none"/>
          <w:lang w:val="zh-CN"/>
        </w:rPr>
        <w:t>2.1 定义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D99988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3064B6C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2.1.1“合同”系指采购人和成交供应商签订的载明双方当事人所达成的协议，并包括所有的附件、附录和构成合同的其他文件。</w:t>
      </w:r>
    </w:p>
    <w:p w14:paraId="0E05FAB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2.1.2“合同价”系指根据合同约定，成交供应商在完全履行合同义务后，采购人应支付给成交供应商的价格。</w:t>
      </w:r>
    </w:p>
    <w:p w14:paraId="327A2A0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2.1.3“服务”系指成交供应商根据合同约定应向采购人履行的除货物和工程以外的其他政府采购对象，包括采购人自身需要的服务和向社会公众提供的公共服务。</w:t>
      </w:r>
    </w:p>
    <w:p w14:paraId="140A37D0">
      <w:pPr>
        <w:spacing w:line="360" w:lineRule="auto"/>
        <w:ind w:firstLine="435"/>
        <w:rPr>
          <w:rFonts w:hint="eastAsia" w:ascii="仿宋" w:hAnsi="仿宋" w:eastAsia="仿宋" w:cs="仿宋"/>
          <w:color w:val="auto"/>
          <w:sz w:val="24"/>
          <w:highlight w:val="none"/>
        </w:rPr>
      </w:pPr>
      <w:bookmarkStart w:id="130" w:name="_Ref467378840"/>
      <w:r>
        <w:rPr>
          <w:rFonts w:hint="eastAsia" w:ascii="仿宋" w:hAnsi="仿宋" w:eastAsia="仿宋" w:cs="仿宋"/>
          <w:color w:val="auto"/>
          <w:sz w:val="24"/>
          <w:highlight w:val="none"/>
        </w:rPr>
        <w:t>2.1.4“甲方”系指与成交供应商签署合同的采购人</w:t>
      </w:r>
      <w:bookmarkEnd w:id="130"/>
      <w:r>
        <w:rPr>
          <w:rFonts w:hint="eastAsia" w:ascii="仿宋" w:hAnsi="仿宋" w:eastAsia="仿宋" w:cs="仿宋"/>
          <w:color w:val="auto"/>
          <w:sz w:val="24"/>
          <w:highlight w:val="none"/>
        </w:rPr>
        <w:t>；采购人委托采购代理机构代表其与乙方签订合同的，采购人的授权委托书作为合同附件。</w:t>
      </w:r>
    </w:p>
    <w:p w14:paraId="3425DDB3">
      <w:pPr>
        <w:spacing w:line="360" w:lineRule="auto"/>
        <w:ind w:firstLine="435"/>
        <w:rPr>
          <w:rFonts w:hint="eastAsia" w:ascii="仿宋" w:hAnsi="仿宋" w:eastAsia="仿宋" w:cs="仿宋"/>
          <w:color w:val="auto"/>
          <w:sz w:val="24"/>
          <w:highlight w:val="none"/>
        </w:rPr>
      </w:pPr>
      <w:bookmarkStart w:id="131" w:name="_Ref467379400"/>
      <w:r>
        <w:rPr>
          <w:rFonts w:hint="eastAsia" w:ascii="仿宋" w:hAnsi="仿宋" w:eastAsia="仿宋" w:cs="仿宋"/>
          <w:color w:val="auto"/>
          <w:sz w:val="24"/>
          <w:highlight w:val="none"/>
        </w:rPr>
        <w:t>2.1.5“乙方”系指根据合同约定提供服务的成交供应商</w:t>
      </w:r>
      <w:bookmarkEnd w:id="131"/>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80F59">
      <w:pPr>
        <w:spacing w:line="360" w:lineRule="auto"/>
        <w:ind w:firstLine="435"/>
        <w:rPr>
          <w:rFonts w:hint="eastAsia" w:ascii="仿宋" w:hAnsi="仿宋" w:eastAsia="仿宋" w:cs="仿宋"/>
          <w:color w:val="auto"/>
          <w:sz w:val="24"/>
          <w:highlight w:val="none"/>
        </w:rPr>
      </w:pPr>
      <w:bookmarkStart w:id="132" w:name="_Ref467379436"/>
      <w:r>
        <w:rPr>
          <w:rFonts w:hint="eastAsia" w:ascii="仿宋" w:hAnsi="仿宋" w:eastAsia="仿宋" w:cs="仿宋"/>
          <w:color w:val="auto"/>
          <w:sz w:val="24"/>
          <w:highlight w:val="none"/>
        </w:rPr>
        <w:t>2.1.6“现场”系指合同约定提供服务的地点。</w:t>
      </w:r>
      <w:bookmarkEnd w:id="132"/>
    </w:p>
    <w:p w14:paraId="4D220FD3">
      <w:pPr>
        <w:spacing w:line="360" w:lineRule="auto"/>
        <w:ind w:firstLine="437"/>
        <w:outlineLvl w:val="2"/>
        <w:rPr>
          <w:rFonts w:hint="eastAsia" w:ascii="仿宋" w:hAnsi="仿宋" w:eastAsia="仿宋" w:cs="仿宋"/>
          <w:b/>
          <w:bCs/>
          <w:color w:val="auto"/>
          <w:sz w:val="24"/>
          <w:highlight w:val="none"/>
          <w:lang w:val="zh-CN"/>
        </w:rPr>
      </w:pPr>
      <w:bookmarkStart w:id="133" w:name="_Toc259093670"/>
      <w:bookmarkStart w:id="134" w:name="_Toc279701241"/>
      <w:bookmarkStart w:id="135" w:name="_Toc32504"/>
      <w:bookmarkStart w:id="136" w:name="_Toc13336"/>
      <w:bookmarkStart w:id="137" w:name="_Toc487900350"/>
      <w:bookmarkStart w:id="138" w:name="_Toc27635"/>
      <w:r>
        <w:rPr>
          <w:rFonts w:hint="eastAsia" w:ascii="仿宋" w:hAnsi="仿宋" w:eastAsia="仿宋" w:cs="仿宋"/>
          <w:b/>
          <w:bCs/>
          <w:color w:val="auto"/>
          <w:sz w:val="24"/>
          <w:highlight w:val="none"/>
          <w:lang w:val="zh-CN"/>
        </w:rPr>
        <w:t>2.2 技术规范</w:t>
      </w:r>
      <w:bookmarkEnd w:id="133"/>
      <w:bookmarkEnd w:id="134"/>
      <w:bookmarkEnd w:id="135"/>
      <w:bookmarkEnd w:id="136"/>
      <w:bookmarkEnd w:id="137"/>
      <w:bookmarkEnd w:id="138"/>
    </w:p>
    <w:p w14:paraId="5DA7F3C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2E92EC">
      <w:pPr>
        <w:spacing w:line="360" w:lineRule="auto"/>
        <w:ind w:firstLine="437"/>
        <w:outlineLvl w:val="2"/>
        <w:rPr>
          <w:rFonts w:hint="eastAsia" w:ascii="仿宋" w:hAnsi="仿宋" w:eastAsia="仿宋" w:cs="仿宋"/>
          <w:b/>
          <w:bCs/>
          <w:color w:val="auto"/>
          <w:sz w:val="24"/>
          <w:highlight w:val="none"/>
          <w:lang w:val="zh-CN"/>
        </w:rPr>
      </w:pPr>
      <w:bookmarkStart w:id="139" w:name="_Toc31634"/>
      <w:bookmarkStart w:id="140" w:name="_Toc27853"/>
      <w:bookmarkStart w:id="141" w:name="_Toc259093671"/>
      <w:bookmarkStart w:id="142" w:name="_Toc487900351"/>
      <w:bookmarkStart w:id="143" w:name="_Toc279701242"/>
      <w:bookmarkStart w:id="144" w:name="_Toc9829"/>
      <w:r>
        <w:rPr>
          <w:rFonts w:hint="eastAsia" w:ascii="仿宋" w:hAnsi="仿宋" w:eastAsia="仿宋" w:cs="仿宋"/>
          <w:b/>
          <w:bCs/>
          <w:color w:val="auto"/>
          <w:sz w:val="24"/>
          <w:highlight w:val="none"/>
          <w:lang w:val="zh-CN"/>
        </w:rPr>
        <w:t>2.3 知识产权</w:t>
      </w:r>
      <w:bookmarkEnd w:id="139"/>
      <w:bookmarkEnd w:id="140"/>
      <w:bookmarkEnd w:id="141"/>
      <w:bookmarkEnd w:id="142"/>
      <w:bookmarkEnd w:id="143"/>
      <w:bookmarkEnd w:id="144"/>
    </w:p>
    <w:p w14:paraId="7CBB553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8CFCA1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2.3.2具有知识产权的计算机软件等货物的知识产权归属，详见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1F593A7">
      <w:pPr>
        <w:spacing w:line="360" w:lineRule="auto"/>
        <w:ind w:firstLine="437"/>
        <w:outlineLvl w:val="2"/>
        <w:rPr>
          <w:rFonts w:hint="eastAsia" w:ascii="仿宋" w:hAnsi="仿宋" w:eastAsia="仿宋" w:cs="仿宋"/>
          <w:b/>
          <w:bCs/>
          <w:color w:val="auto"/>
          <w:sz w:val="24"/>
          <w:highlight w:val="none"/>
          <w:lang w:val="zh-CN"/>
        </w:rPr>
      </w:pPr>
      <w:bookmarkStart w:id="145" w:name="_Toc487900354"/>
      <w:bookmarkStart w:id="146" w:name="_Toc259093674"/>
      <w:bookmarkStart w:id="147" w:name="_Ref467378591"/>
      <w:bookmarkStart w:id="148" w:name="_Toc279701245"/>
      <w:bookmarkStart w:id="149" w:name="_Ref467379527"/>
      <w:bookmarkStart w:id="150" w:name="_Ref467379536"/>
      <w:bookmarkStart w:id="151" w:name="_Ref467379542"/>
      <w:bookmarkStart w:id="152" w:name="_Ref467378541"/>
      <w:bookmarkStart w:id="153" w:name="_Toc19074"/>
      <w:bookmarkStart w:id="154" w:name="_Toc30272"/>
      <w:bookmarkStart w:id="155" w:name="_Toc26182"/>
      <w:r>
        <w:rPr>
          <w:rFonts w:hint="eastAsia" w:ascii="仿宋" w:hAnsi="仿宋" w:eastAsia="仿宋" w:cs="仿宋"/>
          <w:b/>
          <w:bCs/>
          <w:color w:val="auto"/>
          <w:sz w:val="24"/>
          <w:highlight w:val="none"/>
          <w:lang w:val="zh-CN"/>
        </w:rPr>
        <w:t>2.</w:t>
      </w:r>
      <w:bookmarkEnd w:id="145"/>
      <w:bookmarkEnd w:id="146"/>
      <w:bookmarkEnd w:id="147"/>
      <w:bookmarkEnd w:id="148"/>
      <w:bookmarkEnd w:id="149"/>
      <w:bookmarkEnd w:id="150"/>
      <w:bookmarkEnd w:id="151"/>
      <w:bookmarkEnd w:id="152"/>
      <w:r>
        <w:rPr>
          <w:rFonts w:hint="eastAsia" w:ascii="仿宋" w:hAnsi="仿宋" w:eastAsia="仿宋" w:cs="仿宋"/>
          <w:b/>
          <w:bCs/>
          <w:color w:val="auto"/>
          <w:sz w:val="24"/>
          <w:highlight w:val="none"/>
          <w:lang w:val="zh-CN"/>
        </w:rPr>
        <w:t>4 履约检查和问题反馈</w:t>
      </w:r>
      <w:bookmarkEnd w:id="153"/>
      <w:bookmarkEnd w:id="154"/>
      <w:bookmarkEnd w:id="155"/>
    </w:p>
    <w:p w14:paraId="7A166883">
      <w:pPr>
        <w:spacing w:line="360" w:lineRule="auto"/>
        <w:ind w:firstLine="435"/>
        <w:rPr>
          <w:rFonts w:hint="eastAsia" w:ascii="仿宋" w:hAnsi="仿宋" w:eastAsia="仿宋" w:cs="仿宋"/>
          <w:color w:val="auto"/>
          <w:sz w:val="24"/>
          <w:highlight w:val="none"/>
        </w:rPr>
      </w:pPr>
      <w:bookmarkStart w:id="156" w:name="_Toc186431854"/>
      <w:bookmarkStart w:id="157" w:name="_Toc259093676"/>
      <w:bookmarkStart w:id="158" w:name="_Toc487900357"/>
      <w:bookmarkStart w:id="159" w:name="_Toc279701247"/>
      <w:bookmarkStart w:id="160" w:name="_Ref467379807"/>
      <w:bookmarkStart w:id="161" w:name="_Ref467379793"/>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5144C14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2.4.2合同履行期间，甲方有权将履行过程中出现的问题反馈给乙方，双方当事人应以书面形式约定需要完善和改进的内容</w:t>
      </w:r>
      <w:bookmarkEnd w:id="156"/>
      <w:bookmarkStart w:id="162" w:name="_Toc186431855"/>
      <w:r>
        <w:rPr>
          <w:rFonts w:hint="eastAsia" w:ascii="仿宋" w:hAnsi="仿宋" w:eastAsia="仿宋" w:cs="仿宋"/>
          <w:color w:val="auto"/>
          <w:sz w:val="24"/>
          <w:highlight w:val="none"/>
        </w:rPr>
        <w:t>。</w:t>
      </w:r>
    </w:p>
    <w:bookmarkEnd w:id="162"/>
    <w:p w14:paraId="01C2316A">
      <w:pPr>
        <w:spacing w:line="360" w:lineRule="auto"/>
        <w:ind w:firstLine="437"/>
        <w:outlineLvl w:val="2"/>
        <w:rPr>
          <w:rFonts w:hint="eastAsia" w:ascii="仿宋" w:hAnsi="仿宋" w:eastAsia="仿宋" w:cs="仿宋"/>
          <w:b/>
          <w:bCs/>
          <w:color w:val="auto"/>
          <w:sz w:val="24"/>
          <w:highlight w:val="none"/>
          <w:lang w:val="zh-CN"/>
        </w:rPr>
      </w:pPr>
      <w:bookmarkStart w:id="163" w:name="_Toc7836"/>
      <w:bookmarkStart w:id="164" w:name="_Toc28451"/>
      <w:bookmarkStart w:id="165" w:name="_Toc19219"/>
      <w:r>
        <w:rPr>
          <w:rFonts w:hint="eastAsia" w:ascii="仿宋" w:hAnsi="仿宋" w:eastAsia="仿宋" w:cs="仿宋"/>
          <w:b/>
          <w:bCs/>
          <w:color w:val="auto"/>
          <w:sz w:val="24"/>
          <w:highlight w:val="none"/>
          <w:lang w:val="zh-CN"/>
        </w:rPr>
        <w:t>2.5 结算方式和付款条件</w:t>
      </w:r>
      <w:bookmarkEnd w:id="157"/>
      <w:bookmarkEnd w:id="158"/>
      <w:bookmarkEnd w:id="159"/>
      <w:bookmarkEnd w:id="160"/>
      <w:bookmarkEnd w:id="161"/>
      <w:bookmarkEnd w:id="163"/>
      <w:bookmarkEnd w:id="164"/>
      <w:bookmarkEnd w:id="165"/>
    </w:p>
    <w:p w14:paraId="31414FF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D3E469B">
      <w:pPr>
        <w:spacing w:line="360" w:lineRule="auto"/>
        <w:ind w:firstLine="437"/>
        <w:outlineLvl w:val="2"/>
        <w:rPr>
          <w:rFonts w:hint="eastAsia" w:ascii="仿宋" w:hAnsi="仿宋" w:eastAsia="仿宋" w:cs="仿宋"/>
          <w:b/>
          <w:bCs/>
          <w:color w:val="auto"/>
          <w:sz w:val="24"/>
          <w:highlight w:val="none"/>
          <w:lang w:val="zh-CN"/>
        </w:rPr>
      </w:pPr>
      <w:bookmarkStart w:id="166" w:name="_Toc487900358"/>
      <w:bookmarkStart w:id="167" w:name="_Ref467379923"/>
      <w:bookmarkStart w:id="168" w:name="_Toc259093677"/>
      <w:bookmarkStart w:id="169" w:name="_Toc279701248"/>
      <w:bookmarkStart w:id="170" w:name="_Ref467379863"/>
      <w:bookmarkStart w:id="171" w:name="_Ref467379852"/>
      <w:bookmarkStart w:id="172" w:name="_Toc774"/>
      <w:bookmarkStart w:id="173" w:name="_Toc16110"/>
      <w:bookmarkStart w:id="174" w:name="_Toc3225"/>
      <w:r>
        <w:rPr>
          <w:rFonts w:hint="eastAsia" w:ascii="仿宋" w:hAnsi="仿宋" w:eastAsia="仿宋" w:cs="仿宋"/>
          <w:b/>
          <w:bCs/>
          <w:color w:val="auto"/>
          <w:sz w:val="24"/>
          <w:highlight w:val="none"/>
          <w:lang w:val="zh-CN"/>
        </w:rPr>
        <w:t>2.6 技术资料</w:t>
      </w:r>
      <w:bookmarkEnd w:id="166"/>
      <w:bookmarkEnd w:id="167"/>
      <w:bookmarkEnd w:id="168"/>
      <w:bookmarkEnd w:id="169"/>
      <w:bookmarkEnd w:id="170"/>
      <w:bookmarkEnd w:id="171"/>
      <w:r>
        <w:rPr>
          <w:rFonts w:hint="eastAsia" w:ascii="仿宋" w:hAnsi="仿宋" w:eastAsia="仿宋" w:cs="仿宋"/>
          <w:b/>
          <w:bCs/>
          <w:color w:val="auto"/>
          <w:sz w:val="24"/>
          <w:highlight w:val="none"/>
          <w:lang w:val="zh-CN"/>
        </w:rPr>
        <w:t>和保密义务</w:t>
      </w:r>
      <w:bookmarkEnd w:id="172"/>
      <w:bookmarkEnd w:id="173"/>
      <w:bookmarkEnd w:id="174"/>
    </w:p>
    <w:p w14:paraId="6438E3E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2.6.1乙方有权依据合同约定和项目需要，向甲方了解有关情况，调阅有关资料等，甲方应予积极配合；</w:t>
      </w:r>
    </w:p>
    <w:p w14:paraId="4D7BAA6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2.6.2乙方有义务妥善保管和保护由甲方提供的前款信息和资料等；</w:t>
      </w:r>
    </w:p>
    <w:p w14:paraId="76257E5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CC8E494">
      <w:pPr>
        <w:spacing w:line="360" w:lineRule="auto"/>
        <w:ind w:firstLine="437"/>
        <w:outlineLvl w:val="2"/>
        <w:rPr>
          <w:rFonts w:hint="eastAsia" w:ascii="仿宋" w:hAnsi="仿宋" w:eastAsia="仿宋" w:cs="仿宋"/>
          <w:b/>
          <w:bCs/>
          <w:color w:val="auto"/>
          <w:sz w:val="24"/>
          <w:highlight w:val="none"/>
          <w:lang w:val="zh-CN"/>
        </w:rPr>
      </w:pPr>
      <w:bookmarkStart w:id="175" w:name="_Toc7860"/>
      <w:r>
        <w:rPr>
          <w:rFonts w:hint="eastAsia" w:ascii="仿宋" w:hAnsi="仿宋" w:eastAsia="仿宋" w:cs="仿宋"/>
          <w:b/>
          <w:bCs/>
          <w:color w:val="auto"/>
          <w:sz w:val="24"/>
          <w:highlight w:val="none"/>
          <w:lang w:val="zh-CN"/>
        </w:rPr>
        <w:t>2.7 质量保证</w:t>
      </w:r>
      <w:bookmarkEnd w:id="175"/>
    </w:p>
    <w:p w14:paraId="4180B2B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2.7.1乙方应建立和完善履行合同的内部质量保证体系，并提供相关内部规章制度给甲方，以便甲方进行监督检查；</w:t>
      </w:r>
    </w:p>
    <w:p w14:paraId="2B701CD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2.7.2乙方应保证履行合同的人员数量和素质、软件和硬件设备的配置、场地、环境和设施等满足全面履行合同的要求，并应接受甲方的监督检查。</w:t>
      </w:r>
    </w:p>
    <w:p w14:paraId="452FBE6D">
      <w:pPr>
        <w:spacing w:line="360" w:lineRule="auto"/>
        <w:ind w:firstLine="437"/>
        <w:outlineLvl w:val="2"/>
        <w:rPr>
          <w:rFonts w:hint="eastAsia" w:ascii="仿宋" w:hAnsi="仿宋" w:eastAsia="仿宋" w:cs="仿宋"/>
          <w:b/>
          <w:color w:val="auto"/>
          <w:sz w:val="24"/>
          <w:highlight w:val="none"/>
        </w:rPr>
      </w:pPr>
      <w:bookmarkStart w:id="176" w:name="_Toc22267"/>
      <w:r>
        <w:rPr>
          <w:rFonts w:hint="eastAsia" w:ascii="仿宋" w:hAnsi="仿宋" w:eastAsia="仿宋" w:cs="仿宋"/>
          <w:b/>
          <w:color w:val="auto"/>
          <w:sz w:val="24"/>
          <w:highlight w:val="none"/>
        </w:rPr>
        <w:t>2.8 延迟履行</w:t>
      </w:r>
      <w:bookmarkEnd w:id="176"/>
    </w:p>
    <w:p w14:paraId="1F54FEB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FD029FD">
      <w:pPr>
        <w:spacing w:line="360" w:lineRule="auto"/>
        <w:ind w:firstLine="437"/>
        <w:outlineLvl w:val="2"/>
        <w:rPr>
          <w:rFonts w:hint="eastAsia" w:ascii="仿宋" w:hAnsi="仿宋" w:eastAsia="仿宋" w:cs="仿宋"/>
          <w:b/>
          <w:bCs/>
          <w:color w:val="auto"/>
          <w:sz w:val="24"/>
          <w:highlight w:val="none"/>
          <w:lang w:val="zh-CN"/>
        </w:rPr>
      </w:pPr>
      <w:bookmarkStart w:id="177" w:name="_Toc7502"/>
      <w:bookmarkStart w:id="178" w:name="_Toc259093683"/>
      <w:bookmarkStart w:id="179" w:name="_Ref467378121"/>
      <w:bookmarkStart w:id="180" w:name="_Toc279701254"/>
      <w:bookmarkStart w:id="181" w:name="_Toc487900364"/>
      <w:r>
        <w:rPr>
          <w:rFonts w:hint="eastAsia" w:ascii="仿宋" w:hAnsi="仿宋" w:eastAsia="仿宋" w:cs="仿宋"/>
          <w:b/>
          <w:bCs/>
          <w:color w:val="auto"/>
          <w:sz w:val="24"/>
          <w:highlight w:val="none"/>
          <w:lang w:val="zh-CN"/>
        </w:rPr>
        <w:t>2.9 合同变更</w:t>
      </w:r>
      <w:bookmarkEnd w:id="177"/>
    </w:p>
    <w:p w14:paraId="140996C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2.9.1双方当事人协商一致，可以签订书面补充合同的形式变更合同，但不得违背采购文件确定的事项；</w:t>
      </w:r>
    </w:p>
    <w:p w14:paraId="22A2759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82" w:name="_Toc279701259"/>
      <w:bookmarkStart w:id="183" w:name="_Toc487900369"/>
      <w:bookmarkStart w:id="184" w:name="_Toc259093688"/>
    </w:p>
    <w:p w14:paraId="6130C685">
      <w:pPr>
        <w:spacing w:line="360" w:lineRule="auto"/>
        <w:ind w:firstLine="437"/>
        <w:outlineLvl w:val="2"/>
        <w:rPr>
          <w:rFonts w:hint="eastAsia" w:ascii="仿宋" w:hAnsi="仿宋" w:eastAsia="仿宋" w:cs="仿宋"/>
          <w:b/>
          <w:bCs/>
          <w:color w:val="auto"/>
          <w:sz w:val="24"/>
          <w:highlight w:val="none"/>
          <w:lang w:val="zh-CN"/>
        </w:rPr>
      </w:pPr>
      <w:bookmarkStart w:id="185" w:name="_Toc22955"/>
      <w:bookmarkStart w:id="186" w:name="_Toc10366"/>
      <w:bookmarkStart w:id="187" w:name="_Toc15237"/>
      <w:r>
        <w:rPr>
          <w:rFonts w:hint="eastAsia" w:ascii="仿宋" w:hAnsi="仿宋" w:eastAsia="仿宋" w:cs="仿宋"/>
          <w:b/>
          <w:bCs/>
          <w:color w:val="auto"/>
          <w:sz w:val="24"/>
          <w:highlight w:val="none"/>
          <w:lang w:val="zh-CN"/>
        </w:rPr>
        <w:t>2.10 合同转让</w:t>
      </w:r>
      <w:bookmarkEnd w:id="182"/>
      <w:bookmarkEnd w:id="183"/>
      <w:bookmarkEnd w:id="184"/>
      <w:r>
        <w:rPr>
          <w:rFonts w:hint="eastAsia" w:ascii="仿宋" w:hAnsi="仿宋" w:eastAsia="仿宋" w:cs="仿宋"/>
          <w:b/>
          <w:bCs/>
          <w:color w:val="auto"/>
          <w:sz w:val="24"/>
          <w:highlight w:val="none"/>
          <w:lang w:val="zh-CN"/>
        </w:rPr>
        <w:t>和分包</w:t>
      </w:r>
      <w:bookmarkEnd w:id="185"/>
      <w:bookmarkEnd w:id="186"/>
      <w:bookmarkEnd w:id="187"/>
    </w:p>
    <w:p w14:paraId="7341AD5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F94B10D">
      <w:pPr>
        <w:spacing w:line="360" w:lineRule="auto"/>
        <w:ind w:firstLine="437"/>
        <w:outlineLvl w:val="2"/>
        <w:rPr>
          <w:rFonts w:hint="eastAsia" w:ascii="仿宋" w:hAnsi="仿宋" w:eastAsia="仿宋" w:cs="仿宋"/>
          <w:b/>
          <w:bCs/>
          <w:color w:val="auto"/>
          <w:sz w:val="24"/>
          <w:highlight w:val="none"/>
          <w:lang w:val="zh-CN"/>
        </w:rPr>
      </w:pPr>
      <w:bookmarkStart w:id="188" w:name="_Toc13566"/>
      <w:bookmarkStart w:id="189" w:name="_Toc14066"/>
      <w:bookmarkStart w:id="190" w:name="_Toc16508"/>
      <w:r>
        <w:rPr>
          <w:rFonts w:hint="eastAsia" w:ascii="仿宋" w:hAnsi="仿宋" w:eastAsia="仿宋" w:cs="仿宋"/>
          <w:b/>
          <w:bCs/>
          <w:color w:val="auto"/>
          <w:sz w:val="24"/>
          <w:highlight w:val="none"/>
          <w:lang w:val="zh-CN"/>
        </w:rPr>
        <w:t>2.11 不可抗力</w:t>
      </w:r>
      <w:bookmarkEnd w:id="188"/>
      <w:bookmarkEnd w:id="189"/>
      <w:bookmarkEnd w:id="190"/>
    </w:p>
    <w:p w14:paraId="40774BE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12C3ED5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2.11.2因不可抗力致使不能实现合同目的的，当事人可以解除合同；</w:t>
      </w:r>
    </w:p>
    <w:p w14:paraId="111D3F5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2.11.3因不可抗力致使合同有变更必要的，双方当事人应在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33E78AB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1EA66DA4">
      <w:pPr>
        <w:spacing w:line="360" w:lineRule="auto"/>
        <w:ind w:firstLine="437"/>
        <w:outlineLvl w:val="2"/>
        <w:rPr>
          <w:rFonts w:hint="eastAsia" w:ascii="仿宋" w:hAnsi="仿宋" w:eastAsia="仿宋" w:cs="仿宋"/>
          <w:b/>
          <w:bCs/>
          <w:color w:val="auto"/>
          <w:sz w:val="24"/>
          <w:highlight w:val="none"/>
          <w:lang w:val="zh-CN"/>
        </w:rPr>
      </w:pPr>
      <w:bookmarkStart w:id="191" w:name="_Toc279701255"/>
      <w:bookmarkStart w:id="192" w:name="_Toc487900365"/>
      <w:bookmarkStart w:id="193" w:name="_Toc689"/>
      <w:bookmarkStart w:id="194" w:name="_Toc6969"/>
      <w:bookmarkStart w:id="195" w:name="_Toc30676"/>
      <w:bookmarkStart w:id="196" w:name="_Toc259093684"/>
      <w:r>
        <w:rPr>
          <w:rFonts w:hint="eastAsia" w:ascii="仿宋" w:hAnsi="仿宋" w:eastAsia="仿宋" w:cs="仿宋"/>
          <w:b/>
          <w:bCs/>
          <w:color w:val="auto"/>
          <w:sz w:val="24"/>
          <w:highlight w:val="none"/>
          <w:lang w:val="zh-CN"/>
        </w:rPr>
        <w:t>2.12 税费</w:t>
      </w:r>
      <w:bookmarkEnd w:id="191"/>
      <w:bookmarkEnd w:id="192"/>
      <w:bookmarkEnd w:id="193"/>
      <w:bookmarkEnd w:id="194"/>
      <w:bookmarkEnd w:id="195"/>
      <w:bookmarkEnd w:id="196"/>
    </w:p>
    <w:p w14:paraId="5C20CCA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65D48C22">
      <w:pPr>
        <w:spacing w:line="360" w:lineRule="auto"/>
        <w:ind w:firstLine="437"/>
        <w:outlineLvl w:val="2"/>
        <w:rPr>
          <w:rFonts w:hint="eastAsia" w:ascii="仿宋" w:hAnsi="仿宋" w:eastAsia="仿宋" w:cs="仿宋"/>
          <w:b/>
          <w:bCs/>
          <w:color w:val="auto"/>
          <w:sz w:val="24"/>
          <w:highlight w:val="none"/>
          <w:lang w:val="zh-CN"/>
        </w:rPr>
      </w:pPr>
      <w:bookmarkStart w:id="197" w:name="_Toc7102"/>
      <w:bookmarkStart w:id="198" w:name="_Toc259093687"/>
      <w:bookmarkStart w:id="199" w:name="_Toc487900368"/>
      <w:bookmarkStart w:id="200" w:name="_Toc279701258"/>
      <w:bookmarkStart w:id="201" w:name="_Toc16959"/>
      <w:bookmarkStart w:id="202" w:name="_Toc8298"/>
      <w:r>
        <w:rPr>
          <w:rFonts w:hint="eastAsia" w:ascii="仿宋" w:hAnsi="仿宋" w:eastAsia="仿宋" w:cs="仿宋"/>
          <w:b/>
          <w:bCs/>
          <w:color w:val="auto"/>
          <w:sz w:val="24"/>
          <w:highlight w:val="none"/>
          <w:lang w:val="zh-CN"/>
        </w:rPr>
        <w:t>2.13 乙方破产</w:t>
      </w:r>
      <w:bookmarkEnd w:id="197"/>
      <w:bookmarkEnd w:id="198"/>
      <w:bookmarkEnd w:id="199"/>
      <w:bookmarkEnd w:id="200"/>
      <w:bookmarkEnd w:id="201"/>
      <w:bookmarkEnd w:id="202"/>
    </w:p>
    <w:p w14:paraId="183CC5B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36704D">
      <w:pPr>
        <w:spacing w:line="360" w:lineRule="auto"/>
        <w:ind w:firstLine="437"/>
        <w:outlineLvl w:val="2"/>
        <w:rPr>
          <w:rFonts w:hint="eastAsia" w:ascii="仿宋" w:hAnsi="仿宋" w:eastAsia="仿宋" w:cs="仿宋"/>
          <w:b/>
          <w:color w:val="auto"/>
          <w:sz w:val="24"/>
          <w:highlight w:val="none"/>
        </w:rPr>
      </w:pPr>
      <w:bookmarkStart w:id="203" w:name="_Toc29333"/>
      <w:bookmarkStart w:id="204" w:name="_Toc15387"/>
      <w:bookmarkStart w:id="205" w:name="_Toc6134"/>
      <w:r>
        <w:rPr>
          <w:rFonts w:hint="eastAsia" w:ascii="仿宋" w:hAnsi="仿宋" w:eastAsia="仿宋" w:cs="仿宋"/>
          <w:b/>
          <w:bCs/>
          <w:color w:val="auto"/>
          <w:sz w:val="24"/>
          <w:highlight w:val="none"/>
          <w:lang w:val="zh-CN"/>
        </w:rPr>
        <w:t>2.14 合同中止、终止</w:t>
      </w:r>
      <w:bookmarkEnd w:id="203"/>
      <w:bookmarkEnd w:id="204"/>
      <w:bookmarkEnd w:id="205"/>
    </w:p>
    <w:p w14:paraId="6EBBD47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2.14.1双方当事人不得擅自中止或者终止合同；</w:t>
      </w:r>
    </w:p>
    <w:p w14:paraId="3D5FDD8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1894096">
      <w:pPr>
        <w:spacing w:line="360" w:lineRule="auto"/>
        <w:ind w:firstLine="437"/>
        <w:outlineLvl w:val="2"/>
        <w:rPr>
          <w:rFonts w:hint="eastAsia" w:ascii="仿宋" w:hAnsi="仿宋" w:eastAsia="仿宋" w:cs="仿宋"/>
          <w:b/>
          <w:bCs/>
          <w:color w:val="auto"/>
          <w:sz w:val="24"/>
          <w:highlight w:val="none"/>
          <w:lang w:val="zh-CN"/>
        </w:rPr>
      </w:pPr>
      <w:bookmarkStart w:id="206" w:name="_Toc14563"/>
      <w:bookmarkStart w:id="207" w:name="_Toc6596"/>
      <w:bookmarkStart w:id="208" w:name="_Toc1125"/>
      <w:r>
        <w:rPr>
          <w:rFonts w:hint="eastAsia" w:ascii="仿宋" w:hAnsi="仿宋" w:eastAsia="仿宋" w:cs="仿宋"/>
          <w:b/>
          <w:bCs/>
          <w:color w:val="auto"/>
          <w:sz w:val="24"/>
          <w:highlight w:val="none"/>
          <w:lang w:val="zh-CN"/>
        </w:rPr>
        <w:t>2.15 检验和验收</w:t>
      </w:r>
      <w:bookmarkEnd w:id="206"/>
      <w:bookmarkEnd w:id="207"/>
      <w:bookmarkEnd w:id="208"/>
    </w:p>
    <w:p w14:paraId="3282E66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2.15.1乙方按照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7A02529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A961A8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2.15.3检验和验收标准、程序等具体内容以及前述验收书的效力详见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178"/>
    <w:bookmarkEnd w:id="179"/>
    <w:bookmarkEnd w:id="180"/>
    <w:bookmarkEnd w:id="181"/>
    <w:p w14:paraId="27D814AE">
      <w:pPr>
        <w:spacing w:line="360" w:lineRule="auto"/>
        <w:ind w:firstLine="437"/>
        <w:outlineLvl w:val="2"/>
        <w:rPr>
          <w:rFonts w:hint="eastAsia" w:ascii="仿宋" w:hAnsi="仿宋" w:eastAsia="仿宋" w:cs="仿宋"/>
          <w:b/>
          <w:bCs/>
          <w:color w:val="auto"/>
          <w:sz w:val="24"/>
          <w:highlight w:val="none"/>
        </w:rPr>
      </w:pPr>
      <w:bookmarkStart w:id="209" w:name="_Toc487900373"/>
      <w:bookmarkStart w:id="210" w:name="_Toc10330"/>
      <w:bookmarkStart w:id="211" w:name="_Toc18567"/>
      <w:bookmarkStart w:id="212" w:name="_Toc12773"/>
      <w:bookmarkStart w:id="213" w:name="_Toc279701263"/>
      <w:bookmarkStart w:id="214" w:name="_Toc259093692"/>
      <w:r>
        <w:rPr>
          <w:rFonts w:hint="eastAsia" w:ascii="仿宋" w:hAnsi="仿宋" w:eastAsia="仿宋" w:cs="仿宋"/>
          <w:b/>
          <w:bCs/>
          <w:color w:val="auto"/>
          <w:sz w:val="24"/>
          <w:highlight w:val="none"/>
        </w:rPr>
        <w:t xml:space="preserve">2.16 </w:t>
      </w:r>
      <w:r>
        <w:rPr>
          <w:rFonts w:hint="eastAsia" w:ascii="仿宋" w:hAnsi="仿宋" w:eastAsia="仿宋" w:cs="仿宋"/>
          <w:b/>
          <w:bCs/>
          <w:color w:val="auto"/>
          <w:sz w:val="24"/>
          <w:highlight w:val="none"/>
          <w:lang w:val="zh-CN"/>
        </w:rPr>
        <w:t>合同使用的文字和适用的法律</w:t>
      </w:r>
      <w:bookmarkEnd w:id="209"/>
      <w:bookmarkEnd w:id="210"/>
      <w:bookmarkEnd w:id="211"/>
      <w:bookmarkEnd w:id="212"/>
      <w:bookmarkEnd w:id="213"/>
      <w:bookmarkEnd w:id="214"/>
    </w:p>
    <w:p w14:paraId="4DA31A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2.16.1合同使用汉语书就、变更和解释；</w:t>
      </w:r>
    </w:p>
    <w:p w14:paraId="26405EB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2.16.2合同适用中华人民共和国法律。</w:t>
      </w:r>
    </w:p>
    <w:p w14:paraId="0C41253D">
      <w:pPr>
        <w:spacing w:line="360" w:lineRule="auto"/>
        <w:ind w:firstLine="437"/>
        <w:outlineLvl w:val="2"/>
        <w:rPr>
          <w:rFonts w:hint="eastAsia" w:ascii="仿宋" w:hAnsi="仿宋" w:eastAsia="仿宋" w:cs="仿宋"/>
          <w:b/>
          <w:color w:val="auto"/>
          <w:sz w:val="24"/>
          <w:highlight w:val="none"/>
        </w:rPr>
      </w:pPr>
      <w:bookmarkStart w:id="215" w:name="_Toc3148"/>
      <w:bookmarkStart w:id="216" w:name="_Toc12004"/>
      <w:bookmarkStart w:id="217" w:name="_Toc259093693"/>
      <w:bookmarkStart w:id="218" w:name="_Toc279701264"/>
      <w:bookmarkStart w:id="219" w:name="_Toc16673"/>
      <w:bookmarkStart w:id="220" w:name="_Toc487900374"/>
      <w:r>
        <w:rPr>
          <w:rFonts w:hint="eastAsia" w:ascii="仿宋" w:hAnsi="仿宋" w:eastAsia="仿宋" w:cs="仿宋"/>
          <w:b/>
          <w:bCs/>
          <w:color w:val="auto"/>
          <w:sz w:val="24"/>
          <w:highlight w:val="none"/>
          <w:lang w:val="zh-CN"/>
        </w:rPr>
        <w:t>2.17 履约保证金</w:t>
      </w:r>
      <w:bookmarkEnd w:id="215"/>
      <w:bookmarkEnd w:id="216"/>
      <w:bookmarkEnd w:id="217"/>
      <w:bookmarkEnd w:id="218"/>
      <w:bookmarkEnd w:id="219"/>
    </w:p>
    <w:p w14:paraId="0F525CF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2.17.1采购文件要求乙方提交履约保证金的，乙方应按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w:t>
      </w:r>
    </w:p>
    <w:p w14:paraId="04E0F9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.2履约保证金在</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约定期间内或者货物质量保证期内不予退还或者应完全有效，前述约定期间届满或者货物质量保证期届满之日起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个工作日内，甲方应将履约保证金退还乙方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逾期退还履约保证金</w:t>
      </w:r>
      <w:r>
        <w:rPr>
          <w:rFonts w:hint="eastAsia" w:ascii="仿宋" w:hAnsi="仿宋" w:eastAsia="仿宋" w:cs="仿宋"/>
          <w:color w:val="auto"/>
          <w:sz w:val="24"/>
          <w:szCs w:val="24"/>
          <w:highlight w:val="none"/>
          <w:lang w:val="en-US" w:eastAsia="zh-CN"/>
        </w:rPr>
        <w:t>应承担违约责任。</w:t>
      </w:r>
    </w:p>
    <w:p w14:paraId="6CCF530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0"/>
    <w:p w14:paraId="73713263">
      <w:pPr>
        <w:spacing w:line="360" w:lineRule="auto"/>
        <w:ind w:firstLine="437"/>
        <w:outlineLvl w:val="2"/>
        <w:rPr>
          <w:rFonts w:hint="eastAsia" w:ascii="仿宋" w:hAnsi="仿宋" w:eastAsia="仿宋" w:cs="仿宋"/>
          <w:b/>
          <w:color w:val="auto"/>
          <w:sz w:val="24"/>
          <w:highlight w:val="none"/>
        </w:rPr>
      </w:pPr>
      <w:bookmarkStart w:id="221" w:name="_Toc19890"/>
      <w:bookmarkStart w:id="222" w:name="_Toc14001"/>
      <w:bookmarkStart w:id="223" w:name="_Toc6885"/>
      <w:r>
        <w:rPr>
          <w:rFonts w:hint="eastAsia" w:ascii="仿宋" w:hAnsi="仿宋" w:eastAsia="仿宋" w:cs="仿宋"/>
          <w:b/>
          <w:bCs/>
          <w:color w:val="auto"/>
          <w:sz w:val="24"/>
          <w:highlight w:val="none"/>
          <w:lang w:val="zh-CN"/>
        </w:rPr>
        <w:t>2.18 合同份数</w:t>
      </w:r>
      <w:bookmarkEnd w:id="221"/>
      <w:bookmarkEnd w:id="222"/>
      <w:bookmarkEnd w:id="223"/>
    </w:p>
    <w:p w14:paraId="0F7DF66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6C09BC29">
      <w:pPr>
        <w:spacing w:line="360" w:lineRule="auto"/>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224" w:name="_Toc331685784"/>
      <w:bookmarkStart w:id="225" w:name="_Toc8839"/>
    </w:p>
    <w:p w14:paraId="0A36911E">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第三部分 合同专用条款</w:t>
      </w:r>
      <w:bookmarkEnd w:id="224"/>
      <w:bookmarkEnd w:id="225"/>
    </w:p>
    <w:p w14:paraId="55D95B88">
      <w:pPr>
        <w:spacing w:line="360" w:lineRule="auto"/>
        <w:ind w:firstLine="435"/>
        <w:rPr>
          <w:rFonts w:hint="eastAsia" w:ascii="仿宋" w:hAnsi="仿宋" w:eastAsia="仿宋" w:cs="仿宋"/>
          <w:color w:val="auto"/>
          <w:sz w:val="24"/>
          <w:highlight w:val="none"/>
        </w:rPr>
      </w:pPr>
    </w:p>
    <w:p w14:paraId="7253320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487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88"/>
        <w:gridCol w:w="8370"/>
      </w:tblGrid>
      <w:tr w14:paraId="716DD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575" w:type="pct"/>
            <w:tcBorders>
              <w:left w:val="single" w:color="auto" w:sz="4" w:space="0"/>
            </w:tcBorders>
            <w:vAlign w:val="center"/>
          </w:tcPr>
          <w:p w14:paraId="7B63837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4424" w:type="pct"/>
            <w:vAlign w:val="center"/>
          </w:tcPr>
          <w:p w14:paraId="3CDAE7F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51848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75" w:type="pct"/>
            <w:tcBorders>
              <w:left w:val="single" w:color="auto" w:sz="4" w:space="0"/>
            </w:tcBorders>
            <w:vAlign w:val="center"/>
          </w:tcPr>
          <w:p w14:paraId="6B2B3787">
            <w:pPr>
              <w:spacing w:line="560" w:lineRule="exact"/>
              <w:rPr>
                <w:rFonts w:hint="eastAsia" w:ascii="仿宋" w:hAnsi="仿宋" w:eastAsia="仿宋" w:cs="仿宋"/>
                <w:color w:val="auto"/>
                <w:sz w:val="24"/>
                <w:highlight w:val="none"/>
              </w:rPr>
            </w:pPr>
          </w:p>
        </w:tc>
        <w:tc>
          <w:tcPr>
            <w:tcW w:w="4424" w:type="pct"/>
            <w:vAlign w:val="center"/>
          </w:tcPr>
          <w:p w14:paraId="1266ABFA">
            <w:pPr>
              <w:spacing w:line="560" w:lineRule="exact"/>
              <w:rPr>
                <w:rFonts w:hint="eastAsia" w:ascii="仿宋" w:hAnsi="仿宋" w:eastAsia="仿宋" w:cs="仿宋"/>
                <w:color w:val="auto"/>
                <w:sz w:val="24"/>
                <w:highlight w:val="none"/>
              </w:rPr>
            </w:pPr>
          </w:p>
        </w:tc>
      </w:tr>
      <w:tr w14:paraId="6BF7B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5856F0B3">
            <w:pPr>
              <w:spacing w:line="560" w:lineRule="exact"/>
              <w:rPr>
                <w:rFonts w:hint="eastAsia" w:ascii="仿宋" w:hAnsi="仿宋" w:eastAsia="仿宋" w:cs="仿宋"/>
                <w:color w:val="auto"/>
                <w:sz w:val="24"/>
                <w:highlight w:val="none"/>
              </w:rPr>
            </w:pPr>
          </w:p>
        </w:tc>
        <w:tc>
          <w:tcPr>
            <w:tcW w:w="4424" w:type="pct"/>
            <w:vAlign w:val="center"/>
          </w:tcPr>
          <w:p w14:paraId="41D3B76A">
            <w:pPr>
              <w:spacing w:line="560" w:lineRule="exact"/>
              <w:rPr>
                <w:rFonts w:hint="eastAsia" w:ascii="仿宋" w:hAnsi="仿宋" w:eastAsia="仿宋" w:cs="仿宋"/>
                <w:color w:val="auto"/>
                <w:sz w:val="24"/>
                <w:highlight w:val="none"/>
              </w:rPr>
            </w:pPr>
          </w:p>
        </w:tc>
      </w:tr>
      <w:tr w14:paraId="3B4C8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3AACD552">
            <w:pPr>
              <w:spacing w:line="560" w:lineRule="exact"/>
              <w:rPr>
                <w:rFonts w:hint="eastAsia" w:ascii="仿宋" w:hAnsi="仿宋" w:eastAsia="仿宋" w:cs="仿宋"/>
                <w:color w:val="auto"/>
                <w:sz w:val="24"/>
                <w:highlight w:val="none"/>
              </w:rPr>
            </w:pPr>
          </w:p>
        </w:tc>
        <w:tc>
          <w:tcPr>
            <w:tcW w:w="4424" w:type="pct"/>
            <w:vAlign w:val="center"/>
          </w:tcPr>
          <w:p w14:paraId="209BC991">
            <w:pPr>
              <w:spacing w:line="560" w:lineRule="exact"/>
              <w:rPr>
                <w:rFonts w:hint="eastAsia" w:ascii="仿宋" w:hAnsi="仿宋" w:eastAsia="仿宋" w:cs="仿宋"/>
                <w:color w:val="auto"/>
                <w:sz w:val="24"/>
                <w:highlight w:val="none"/>
              </w:rPr>
            </w:pPr>
          </w:p>
        </w:tc>
      </w:tr>
      <w:tr w14:paraId="24FA0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6C856A49">
            <w:pPr>
              <w:spacing w:line="560" w:lineRule="exact"/>
              <w:rPr>
                <w:rFonts w:hint="eastAsia" w:ascii="仿宋" w:hAnsi="仿宋" w:eastAsia="仿宋" w:cs="仿宋"/>
                <w:color w:val="auto"/>
                <w:sz w:val="24"/>
                <w:highlight w:val="none"/>
              </w:rPr>
            </w:pPr>
          </w:p>
        </w:tc>
        <w:tc>
          <w:tcPr>
            <w:tcW w:w="4424" w:type="pct"/>
            <w:vAlign w:val="center"/>
          </w:tcPr>
          <w:p w14:paraId="2CED1893">
            <w:pPr>
              <w:spacing w:line="560" w:lineRule="exact"/>
              <w:rPr>
                <w:rFonts w:hint="eastAsia" w:ascii="仿宋" w:hAnsi="仿宋" w:eastAsia="仿宋" w:cs="仿宋"/>
                <w:color w:val="auto"/>
                <w:sz w:val="24"/>
                <w:highlight w:val="none"/>
              </w:rPr>
            </w:pPr>
          </w:p>
        </w:tc>
      </w:tr>
      <w:tr w14:paraId="5D938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07CE81EC">
            <w:pPr>
              <w:spacing w:line="560" w:lineRule="exact"/>
              <w:rPr>
                <w:rFonts w:hint="eastAsia" w:ascii="仿宋" w:hAnsi="仿宋" w:eastAsia="仿宋" w:cs="仿宋"/>
                <w:color w:val="auto"/>
                <w:sz w:val="24"/>
                <w:highlight w:val="none"/>
              </w:rPr>
            </w:pPr>
          </w:p>
        </w:tc>
        <w:tc>
          <w:tcPr>
            <w:tcW w:w="4424" w:type="pct"/>
            <w:vAlign w:val="center"/>
          </w:tcPr>
          <w:p w14:paraId="47EDE6EC">
            <w:pPr>
              <w:spacing w:line="560" w:lineRule="exact"/>
              <w:rPr>
                <w:rFonts w:hint="eastAsia" w:ascii="仿宋" w:hAnsi="仿宋" w:eastAsia="仿宋" w:cs="仿宋"/>
                <w:color w:val="auto"/>
                <w:sz w:val="24"/>
                <w:highlight w:val="none"/>
                <w:u w:val="single"/>
              </w:rPr>
            </w:pPr>
          </w:p>
        </w:tc>
      </w:tr>
      <w:tr w14:paraId="1B0B1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5964AEEB">
            <w:pPr>
              <w:spacing w:line="560" w:lineRule="exact"/>
              <w:rPr>
                <w:rFonts w:hint="eastAsia" w:ascii="仿宋" w:hAnsi="仿宋" w:eastAsia="仿宋" w:cs="仿宋"/>
                <w:color w:val="auto"/>
                <w:sz w:val="24"/>
                <w:highlight w:val="none"/>
              </w:rPr>
            </w:pPr>
          </w:p>
        </w:tc>
        <w:tc>
          <w:tcPr>
            <w:tcW w:w="4424" w:type="pct"/>
            <w:vAlign w:val="center"/>
          </w:tcPr>
          <w:p w14:paraId="4624CBF3">
            <w:pPr>
              <w:spacing w:line="560" w:lineRule="exact"/>
              <w:rPr>
                <w:rFonts w:hint="eastAsia" w:ascii="仿宋" w:hAnsi="仿宋" w:eastAsia="仿宋" w:cs="仿宋"/>
                <w:color w:val="auto"/>
                <w:sz w:val="24"/>
                <w:highlight w:val="none"/>
              </w:rPr>
            </w:pPr>
          </w:p>
        </w:tc>
      </w:tr>
      <w:tr w14:paraId="32B5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663833BB">
            <w:pPr>
              <w:spacing w:line="560" w:lineRule="exact"/>
              <w:rPr>
                <w:rFonts w:hint="eastAsia" w:ascii="仿宋" w:hAnsi="仿宋" w:eastAsia="仿宋" w:cs="仿宋"/>
                <w:color w:val="auto"/>
                <w:sz w:val="24"/>
                <w:highlight w:val="none"/>
              </w:rPr>
            </w:pPr>
          </w:p>
        </w:tc>
        <w:tc>
          <w:tcPr>
            <w:tcW w:w="4424" w:type="pct"/>
            <w:vAlign w:val="center"/>
          </w:tcPr>
          <w:p w14:paraId="0F588D75">
            <w:pPr>
              <w:spacing w:line="560" w:lineRule="exact"/>
              <w:rPr>
                <w:rFonts w:hint="eastAsia" w:ascii="仿宋" w:hAnsi="仿宋" w:eastAsia="仿宋" w:cs="仿宋"/>
                <w:color w:val="auto"/>
                <w:sz w:val="24"/>
                <w:highlight w:val="none"/>
                <w:u w:val="single"/>
              </w:rPr>
            </w:pPr>
          </w:p>
        </w:tc>
      </w:tr>
      <w:tr w14:paraId="477B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456DECBB">
            <w:pPr>
              <w:spacing w:line="560" w:lineRule="exact"/>
              <w:rPr>
                <w:rFonts w:hint="eastAsia" w:ascii="仿宋" w:hAnsi="仿宋" w:eastAsia="仿宋" w:cs="仿宋"/>
                <w:color w:val="auto"/>
                <w:sz w:val="24"/>
                <w:highlight w:val="none"/>
              </w:rPr>
            </w:pPr>
          </w:p>
        </w:tc>
        <w:tc>
          <w:tcPr>
            <w:tcW w:w="4424" w:type="pct"/>
            <w:vAlign w:val="center"/>
          </w:tcPr>
          <w:p w14:paraId="6268E04D">
            <w:pPr>
              <w:spacing w:line="560" w:lineRule="exact"/>
              <w:rPr>
                <w:rFonts w:hint="eastAsia" w:ascii="仿宋" w:hAnsi="仿宋" w:eastAsia="仿宋" w:cs="仿宋"/>
                <w:color w:val="auto"/>
                <w:sz w:val="24"/>
                <w:highlight w:val="none"/>
              </w:rPr>
            </w:pPr>
          </w:p>
        </w:tc>
      </w:tr>
      <w:tr w14:paraId="48944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38B75383">
            <w:pPr>
              <w:spacing w:line="560" w:lineRule="exact"/>
              <w:rPr>
                <w:rFonts w:hint="eastAsia" w:ascii="仿宋" w:hAnsi="仿宋" w:eastAsia="仿宋" w:cs="仿宋"/>
                <w:color w:val="auto"/>
                <w:sz w:val="24"/>
                <w:highlight w:val="none"/>
              </w:rPr>
            </w:pPr>
          </w:p>
        </w:tc>
        <w:tc>
          <w:tcPr>
            <w:tcW w:w="4424" w:type="pct"/>
            <w:vAlign w:val="center"/>
          </w:tcPr>
          <w:p w14:paraId="58B6FA3D">
            <w:pPr>
              <w:spacing w:line="560" w:lineRule="exact"/>
              <w:rPr>
                <w:rFonts w:hint="eastAsia" w:ascii="仿宋" w:hAnsi="仿宋" w:eastAsia="仿宋" w:cs="仿宋"/>
                <w:color w:val="auto"/>
                <w:sz w:val="24"/>
                <w:highlight w:val="none"/>
              </w:rPr>
            </w:pPr>
          </w:p>
        </w:tc>
      </w:tr>
      <w:tr w14:paraId="57AA8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42653EC1">
            <w:pPr>
              <w:spacing w:line="560" w:lineRule="exact"/>
              <w:rPr>
                <w:rFonts w:hint="eastAsia" w:ascii="仿宋" w:hAnsi="仿宋" w:eastAsia="仿宋" w:cs="仿宋"/>
                <w:color w:val="auto"/>
                <w:sz w:val="24"/>
                <w:highlight w:val="none"/>
              </w:rPr>
            </w:pPr>
          </w:p>
        </w:tc>
        <w:tc>
          <w:tcPr>
            <w:tcW w:w="4424" w:type="pct"/>
            <w:vAlign w:val="center"/>
          </w:tcPr>
          <w:p w14:paraId="0FDAA7CB">
            <w:pPr>
              <w:spacing w:line="560" w:lineRule="exact"/>
              <w:rPr>
                <w:rFonts w:hint="eastAsia" w:ascii="仿宋" w:hAnsi="仿宋" w:eastAsia="仿宋" w:cs="仿宋"/>
                <w:color w:val="auto"/>
                <w:sz w:val="24"/>
                <w:highlight w:val="none"/>
              </w:rPr>
            </w:pPr>
          </w:p>
        </w:tc>
      </w:tr>
      <w:tr w14:paraId="606AF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top w:val="single" w:color="auto" w:sz="6" w:space="0"/>
              <w:left w:val="single" w:color="auto" w:sz="4" w:space="0"/>
              <w:bottom w:val="single" w:color="auto" w:sz="6" w:space="0"/>
              <w:right w:val="single" w:color="auto" w:sz="6" w:space="0"/>
            </w:tcBorders>
            <w:vAlign w:val="center"/>
          </w:tcPr>
          <w:p w14:paraId="14B139E9">
            <w:pPr>
              <w:spacing w:line="560" w:lineRule="exact"/>
              <w:rPr>
                <w:rFonts w:hint="eastAsia" w:ascii="仿宋" w:hAnsi="仿宋" w:eastAsia="仿宋" w:cs="仿宋"/>
                <w:color w:val="auto"/>
                <w:sz w:val="24"/>
                <w:highlight w:val="none"/>
              </w:rPr>
            </w:pPr>
          </w:p>
        </w:tc>
        <w:tc>
          <w:tcPr>
            <w:tcW w:w="4424" w:type="pct"/>
            <w:tcBorders>
              <w:top w:val="single" w:color="auto" w:sz="6" w:space="0"/>
              <w:left w:val="single" w:color="auto" w:sz="6" w:space="0"/>
              <w:bottom w:val="single" w:color="auto" w:sz="6" w:space="0"/>
              <w:right w:val="single" w:color="auto" w:sz="6" w:space="0"/>
            </w:tcBorders>
            <w:vAlign w:val="center"/>
          </w:tcPr>
          <w:p w14:paraId="30DDD3EC">
            <w:pPr>
              <w:spacing w:line="560" w:lineRule="exact"/>
              <w:rPr>
                <w:rFonts w:hint="eastAsia" w:ascii="仿宋" w:hAnsi="仿宋" w:eastAsia="仿宋" w:cs="仿宋"/>
                <w:color w:val="auto"/>
                <w:sz w:val="24"/>
                <w:highlight w:val="none"/>
              </w:rPr>
            </w:pPr>
          </w:p>
        </w:tc>
      </w:tr>
      <w:tr w14:paraId="7B61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top w:val="single" w:color="auto" w:sz="6" w:space="0"/>
              <w:left w:val="single" w:color="auto" w:sz="4" w:space="0"/>
              <w:bottom w:val="single" w:color="auto" w:sz="6" w:space="0"/>
              <w:right w:val="single" w:color="auto" w:sz="6" w:space="0"/>
            </w:tcBorders>
            <w:vAlign w:val="center"/>
          </w:tcPr>
          <w:p w14:paraId="7276B2D3">
            <w:pPr>
              <w:spacing w:line="560" w:lineRule="exact"/>
              <w:rPr>
                <w:rFonts w:hint="eastAsia" w:ascii="仿宋" w:hAnsi="仿宋" w:eastAsia="仿宋" w:cs="仿宋"/>
                <w:color w:val="auto"/>
                <w:sz w:val="24"/>
                <w:highlight w:val="none"/>
              </w:rPr>
            </w:pPr>
          </w:p>
        </w:tc>
        <w:tc>
          <w:tcPr>
            <w:tcW w:w="4424" w:type="pct"/>
            <w:tcBorders>
              <w:top w:val="single" w:color="auto" w:sz="6" w:space="0"/>
              <w:left w:val="single" w:color="auto" w:sz="6" w:space="0"/>
              <w:bottom w:val="single" w:color="auto" w:sz="6" w:space="0"/>
              <w:right w:val="single" w:color="auto" w:sz="6" w:space="0"/>
            </w:tcBorders>
            <w:vAlign w:val="center"/>
          </w:tcPr>
          <w:p w14:paraId="378FD688">
            <w:pPr>
              <w:spacing w:line="560" w:lineRule="exact"/>
              <w:rPr>
                <w:rFonts w:hint="eastAsia" w:ascii="仿宋" w:hAnsi="仿宋" w:eastAsia="仿宋" w:cs="仿宋"/>
                <w:color w:val="auto"/>
                <w:sz w:val="24"/>
                <w:highlight w:val="none"/>
              </w:rPr>
            </w:pPr>
          </w:p>
        </w:tc>
      </w:tr>
    </w:tbl>
    <w:p w14:paraId="1064A5FB">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1DB3F77">
      <w:pPr>
        <w:spacing w:line="360" w:lineRule="auto"/>
        <w:jc w:val="center"/>
        <w:outlineLvl w:val="0"/>
        <w:rPr>
          <w:rFonts w:hint="eastAsia" w:ascii="仿宋" w:hAnsi="仿宋" w:eastAsia="仿宋" w:cs="仿宋"/>
          <w:b/>
          <w:color w:val="auto"/>
          <w:sz w:val="28"/>
          <w:highlight w:val="none"/>
        </w:rPr>
      </w:pPr>
      <w:bookmarkStart w:id="226" w:name="_Toc29374"/>
    </w:p>
    <w:p w14:paraId="2C7497D2">
      <w:pPr>
        <w:spacing w:line="360" w:lineRule="auto"/>
        <w:jc w:val="center"/>
        <w:outlineLvl w:val="0"/>
        <w:rPr>
          <w:rFonts w:hint="eastAsia" w:ascii="仿宋" w:hAnsi="仿宋" w:eastAsia="仿宋" w:cs="仿宋"/>
          <w:b/>
          <w:color w:val="auto"/>
          <w:sz w:val="32"/>
          <w:highlight w:val="none"/>
        </w:rPr>
      </w:pPr>
      <w:r>
        <w:rPr>
          <w:rFonts w:hint="eastAsia" w:ascii="仿宋" w:hAnsi="仿宋" w:eastAsia="仿宋" w:cs="仿宋"/>
          <w:b/>
          <w:color w:val="auto"/>
          <w:sz w:val="28"/>
          <w:highlight w:val="none"/>
        </w:rPr>
        <w:t>第六章  响应文件格式</w:t>
      </w:r>
      <w:bookmarkEnd w:id="226"/>
    </w:p>
    <w:p w14:paraId="1641FC27">
      <w:pPr>
        <w:spacing w:line="900" w:lineRule="exact"/>
        <w:jc w:val="center"/>
        <w:rPr>
          <w:rFonts w:hint="eastAsia" w:ascii="仿宋" w:hAnsi="仿宋" w:eastAsia="仿宋" w:cs="仿宋"/>
          <w:b/>
          <w:color w:val="auto"/>
          <w:sz w:val="72"/>
          <w:highlight w:val="none"/>
        </w:rPr>
      </w:pPr>
    </w:p>
    <w:p w14:paraId="6D438A01">
      <w:pPr>
        <w:spacing w:line="900" w:lineRule="exact"/>
        <w:jc w:val="center"/>
        <w:outlineLvl w:val="2"/>
        <w:rPr>
          <w:rFonts w:hint="eastAsia" w:ascii="仿宋" w:hAnsi="仿宋" w:eastAsia="仿宋" w:cs="仿宋"/>
          <w:b/>
          <w:color w:val="auto"/>
          <w:sz w:val="72"/>
          <w:highlight w:val="none"/>
        </w:rPr>
      </w:pPr>
      <w:r>
        <w:rPr>
          <w:rFonts w:hint="eastAsia" w:ascii="仿宋" w:hAnsi="仿宋" w:eastAsia="仿宋" w:cs="仿宋"/>
          <w:b/>
          <w:color w:val="auto"/>
          <w:sz w:val="72"/>
          <w:highlight w:val="none"/>
        </w:rPr>
        <w:t>响</w:t>
      </w:r>
    </w:p>
    <w:p w14:paraId="77688D7B">
      <w:pPr>
        <w:spacing w:line="900" w:lineRule="exact"/>
        <w:jc w:val="center"/>
        <w:rPr>
          <w:rFonts w:hint="eastAsia" w:ascii="仿宋" w:hAnsi="仿宋" w:eastAsia="仿宋" w:cs="仿宋"/>
          <w:b/>
          <w:color w:val="auto"/>
          <w:sz w:val="72"/>
          <w:highlight w:val="none"/>
        </w:rPr>
      </w:pPr>
    </w:p>
    <w:p w14:paraId="770D974A">
      <w:pPr>
        <w:spacing w:line="900" w:lineRule="exact"/>
        <w:jc w:val="center"/>
        <w:outlineLvl w:val="2"/>
        <w:rPr>
          <w:rFonts w:hint="eastAsia" w:ascii="仿宋" w:hAnsi="仿宋" w:eastAsia="仿宋" w:cs="仿宋"/>
          <w:b/>
          <w:color w:val="auto"/>
          <w:sz w:val="72"/>
          <w:highlight w:val="none"/>
        </w:rPr>
      </w:pPr>
      <w:r>
        <w:rPr>
          <w:rFonts w:hint="eastAsia" w:ascii="仿宋" w:hAnsi="仿宋" w:eastAsia="仿宋" w:cs="仿宋"/>
          <w:b/>
          <w:color w:val="auto"/>
          <w:sz w:val="72"/>
          <w:highlight w:val="none"/>
        </w:rPr>
        <w:t>应</w:t>
      </w:r>
    </w:p>
    <w:p w14:paraId="56D7156E">
      <w:pPr>
        <w:spacing w:line="900" w:lineRule="exact"/>
        <w:jc w:val="center"/>
        <w:rPr>
          <w:rFonts w:hint="eastAsia" w:ascii="仿宋" w:hAnsi="仿宋" w:eastAsia="仿宋" w:cs="仿宋"/>
          <w:b/>
          <w:color w:val="auto"/>
          <w:sz w:val="72"/>
          <w:highlight w:val="none"/>
        </w:rPr>
      </w:pPr>
    </w:p>
    <w:p w14:paraId="47500A48">
      <w:pPr>
        <w:spacing w:line="900" w:lineRule="exact"/>
        <w:jc w:val="center"/>
        <w:outlineLvl w:val="2"/>
        <w:rPr>
          <w:rFonts w:hint="eastAsia" w:ascii="仿宋" w:hAnsi="仿宋" w:eastAsia="仿宋" w:cs="仿宋"/>
          <w:b/>
          <w:color w:val="auto"/>
          <w:sz w:val="72"/>
          <w:highlight w:val="none"/>
        </w:rPr>
      </w:pPr>
      <w:r>
        <w:rPr>
          <w:rFonts w:hint="eastAsia" w:ascii="仿宋" w:hAnsi="仿宋" w:eastAsia="仿宋" w:cs="仿宋"/>
          <w:b/>
          <w:color w:val="auto"/>
          <w:sz w:val="72"/>
          <w:highlight w:val="none"/>
        </w:rPr>
        <w:t>文</w:t>
      </w:r>
    </w:p>
    <w:p w14:paraId="695F9EF9">
      <w:pPr>
        <w:spacing w:line="900" w:lineRule="exact"/>
        <w:jc w:val="center"/>
        <w:rPr>
          <w:rFonts w:hint="eastAsia" w:ascii="仿宋" w:hAnsi="仿宋" w:eastAsia="仿宋" w:cs="仿宋"/>
          <w:b/>
          <w:color w:val="auto"/>
          <w:sz w:val="72"/>
          <w:highlight w:val="none"/>
        </w:rPr>
      </w:pPr>
    </w:p>
    <w:p w14:paraId="5D8CD32F">
      <w:pPr>
        <w:jc w:val="center"/>
        <w:outlineLvl w:val="2"/>
        <w:rPr>
          <w:rFonts w:hint="eastAsia" w:ascii="仿宋" w:hAnsi="仿宋" w:eastAsia="仿宋" w:cs="仿宋"/>
          <w:b/>
          <w:color w:val="auto"/>
          <w:sz w:val="72"/>
          <w:highlight w:val="none"/>
        </w:rPr>
      </w:pPr>
      <w:r>
        <w:rPr>
          <w:rFonts w:hint="eastAsia" w:ascii="仿宋" w:hAnsi="仿宋" w:eastAsia="仿宋" w:cs="仿宋"/>
          <w:b/>
          <w:color w:val="auto"/>
          <w:sz w:val="72"/>
          <w:highlight w:val="none"/>
        </w:rPr>
        <w:t>件</w:t>
      </w:r>
    </w:p>
    <w:p w14:paraId="473F62DA">
      <w:pPr>
        <w:spacing w:after="156" w:afterLines="50"/>
        <w:jc w:val="center"/>
        <w:rPr>
          <w:rFonts w:hint="eastAsia" w:ascii="仿宋" w:hAnsi="仿宋" w:eastAsia="仿宋" w:cs="仿宋"/>
          <w:b/>
          <w:color w:val="auto"/>
          <w:sz w:val="72"/>
          <w:highlight w:val="none"/>
        </w:rPr>
      </w:pPr>
    </w:p>
    <w:p w14:paraId="0DF086F2">
      <w:pPr>
        <w:spacing w:before="156" w:beforeLines="50" w:after="156" w:afterLines="50"/>
        <w:jc w:val="center"/>
        <w:outlineLvl w:val="1"/>
        <w:rPr>
          <w:rFonts w:hint="eastAsia" w:ascii="仿宋" w:hAnsi="仿宋" w:eastAsia="仿宋" w:cs="仿宋"/>
          <w:b/>
          <w:color w:val="auto"/>
          <w:sz w:val="32"/>
          <w:szCs w:val="32"/>
          <w:highlight w:val="none"/>
        </w:rPr>
      </w:pPr>
      <w:bookmarkStart w:id="227" w:name="_Toc22613"/>
      <w:bookmarkStart w:id="228" w:name="_Toc22977"/>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包】</w:t>
      </w:r>
      <w:bookmarkEnd w:id="227"/>
      <w:bookmarkEnd w:id="228"/>
    </w:p>
    <w:p w14:paraId="2C21A6ED">
      <w:pPr>
        <w:spacing w:after="156" w:afterLines="50" w:line="500" w:lineRule="exact"/>
        <w:jc w:val="center"/>
        <w:rPr>
          <w:rFonts w:hint="eastAsia" w:ascii="仿宋" w:hAnsi="仿宋" w:eastAsia="仿宋" w:cs="仿宋"/>
          <w:b/>
          <w:color w:val="auto"/>
          <w:sz w:val="28"/>
          <w:szCs w:val="28"/>
          <w:highlight w:val="none"/>
        </w:rPr>
      </w:pPr>
    </w:p>
    <w:p w14:paraId="71ECD77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仿宋" w:hAnsi="仿宋" w:eastAsia="仿宋" w:cs="仿宋"/>
          <w:b/>
          <w:color w:val="auto"/>
          <w:spacing w:val="20"/>
          <w:kern w:val="0"/>
          <w:sz w:val="32"/>
          <w:szCs w:val="32"/>
          <w:highlight w:val="none"/>
          <w:lang w:val="en-US" w:eastAsia="zh-CN"/>
        </w:rPr>
      </w:pPr>
      <w:r>
        <w:rPr>
          <w:rFonts w:hint="eastAsia" w:ascii="仿宋" w:hAnsi="仿宋" w:eastAsia="仿宋" w:cs="仿宋"/>
          <w:b/>
          <w:color w:val="auto"/>
          <w:sz w:val="32"/>
          <w:highlight w:val="none"/>
        </w:rPr>
        <w:t>项目名称：</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u w:val="single"/>
          <w:lang w:val="en-US" w:eastAsia="zh-CN"/>
        </w:rPr>
        <w:t xml:space="preserve">   </w:t>
      </w:r>
      <w:r>
        <w:rPr>
          <w:rFonts w:hint="eastAsia" w:ascii="仿宋" w:hAnsi="仿宋" w:eastAsia="仿宋" w:cs="仿宋"/>
          <w:b/>
          <w:color w:val="auto"/>
          <w:sz w:val="32"/>
          <w:highlight w:val="none"/>
          <w:u w:val="single"/>
        </w:rPr>
        <w:t xml:space="preserve">    </w:t>
      </w:r>
    </w:p>
    <w:p w14:paraId="6AEADB6C">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仿宋" w:hAnsi="仿宋" w:eastAsia="仿宋" w:cs="仿宋"/>
          <w:b/>
          <w:color w:val="auto"/>
          <w:sz w:val="32"/>
          <w:highlight w:val="none"/>
        </w:rPr>
      </w:pPr>
      <w:r>
        <w:rPr>
          <w:rFonts w:hint="eastAsia" w:ascii="仿宋" w:hAnsi="仿宋" w:eastAsia="仿宋" w:cs="仿宋"/>
          <w:b/>
          <w:color w:val="auto"/>
          <w:sz w:val="32"/>
          <w:highlight w:val="none"/>
        </w:rPr>
        <w:t>项目编号：</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u w:val="single"/>
          <w:lang w:val="en-US" w:eastAsia="zh-CN"/>
        </w:rPr>
        <w:t xml:space="preserve">   </w:t>
      </w:r>
      <w:r>
        <w:rPr>
          <w:rFonts w:hint="eastAsia" w:ascii="仿宋" w:hAnsi="仿宋" w:eastAsia="仿宋" w:cs="仿宋"/>
          <w:b/>
          <w:color w:val="auto"/>
          <w:sz w:val="32"/>
          <w:highlight w:val="none"/>
          <w:u w:val="single"/>
        </w:rPr>
        <w:t xml:space="preserve">    </w:t>
      </w:r>
    </w:p>
    <w:p w14:paraId="7B6B560B">
      <w:pPr>
        <w:keepNext w:val="0"/>
        <w:keepLines w:val="0"/>
        <w:pageBreakBefore w:val="0"/>
        <w:widowControl w:val="0"/>
        <w:kinsoku/>
        <w:wordWrap/>
        <w:overflowPunct/>
        <w:topLinePunct w:val="0"/>
        <w:bidi w:val="0"/>
        <w:spacing w:line="360" w:lineRule="auto"/>
        <w:ind w:firstLine="1928" w:firstLineChars="600"/>
        <w:textAlignment w:val="auto"/>
        <w:rPr>
          <w:rFonts w:hint="eastAsia" w:ascii="仿宋" w:hAnsi="仿宋" w:eastAsia="仿宋" w:cs="仿宋"/>
          <w:b/>
          <w:color w:val="auto"/>
          <w:sz w:val="32"/>
          <w:highlight w:val="none"/>
          <w:u w:val="single"/>
          <w:lang w:val="en-US" w:eastAsia="zh-CN"/>
        </w:rPr>
      </w:pPr>
      <w:r>
        <w:rPr>
          <w:rFonts w:hint="eastAsia" w:ascii="仿宋" w:hAnsi="仿宋" w:eastAsia="仿宋" w:cs="仿宋"/>
          <w:b/>
          <w:color w:val="auto"/>
          <w:sz w:val="32"/>
          <w:highlight w:val="none"/>
        </w:rPr>
        <w:t>供</w:t>
      </w:r>
      <w:r>
        <w:rPr>
          <w:rFonts w:hint="eastAsia" w:ascii="仿宋" w:hAnsi="仿宋" w:eastAsia="仿宋" w:cs="仿宋"/>
          <w:b/>
          <w:color w:val="auto"/>
          <w:sz w:val="32"/>
          <w:highlight w:val="none"/>
          <w:lang w:val="en-US" w:eastAsia="zh-CN"/>
        </w:rPr>
        <w:t xml:space="preserve"> </w:t>
      </w:r>
      <w:r>
        <w:rPr>
          <w:rFonts w:hint="eastAsia" w:ascii="仿宋" w:hAnsi="仿宋" w:eastAsia="仿宋" w:cs="仿宋"/>
          <w:b/>
          <w:color w:val="auto"/>
          <w:sz w:val="32"/>
          <w:highlight w:val="none"/>
        </w:rPr>
        <w:t>应</w:t>
      </w:r>
      <w:r>
        <w:rPr>
          <w:rFonts w:hint="eastAsia" w:ascii="仿宋" w:hAnsi="仿宋" w:eastAsia="仿宋" w:cs="仿宋"/>
          <w:b/>
          <w:color w:val="auto"/>
          <w:sz w:val="32"/>
          <w:highlight w:val="none"/>
          <w:lang w:val="en-US" w:eastAsia="zh-CN"/>
        </w:rPr>
        <w:t xml:space="preserve"> </w:t>
      </w:r>
      <w:r>
        <w:rPr>
          <w:rFonts w:hint="eastAsia" w:ascii="仿宋" w:hAnsi="仿宋" w:eastAsia="仿宋" w:cs="仿宋"/>
          <w:b/>
          <w:color w:val="auto"/>
          <w:sz w:val="32"/>
          <w:highlight w:val="none"/>
        </w:rPr>
        <w:t>商：</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u w:val="single"/>
          <w:lang w:eastAsia="zh-CN"/>
        </w:rPr>
        <w:t>（</w:t>
      </w:r>
      <w:r>
        <w:rPr>
          <w:rFonts w:hint="eastAsia" w:ascii="仿宋" w:hAnsi="仿宋" w:eastAsia="仿宋" w:cs="仿宋"/>
          <w:b/>
          <w:color w:val="auto"/>
          <w:sz w:val="32"/>
          <w:highlight w:val="none"/>
          <w:u w:val="single"/>
          <w:lang w:val="en-US" w:eastAsia="zh-CN"/>
        </w:rPr>
        <w:t>盖单位章</w:t>
      </w:r>
      <w:r>
        <w:rPr>
          <w:rFonts w:hint="eastAsia" w:ascii="仿宋" w:hAnsi="仿宋" w:eastAsia="仿宋" w:cs="仿宋"/>
          <w:b/>
          <w:color w:val="auto"/>
          <w:sz w:val="32"/>
          <w:highlight w:val="none"/>
          <w:u w:val="single"/>
          <w:lang w:eastAsia="zh-CN"/>
        </w:rPr>
        <w:t>）</w:t>
      </w:r>
      <w:r>
        <w:rPr>
          <w:rFonts w:hint="eastAsia" w:ascii="仿宋" w:hAnsi="仿宋" w:eastAsia="仿宋" w:cs="仿宋"/>
          <w:b/>
          <w:color w:val="auto"/>
          <w:sz w:val="32"/>
          <w:highlight w:val="none"/>
          <w:u w:val="single"/>
          <w:lang w:val="en-US" w:eastAsia="zh-CN"/>
        </w:rPr>
        <w:t xml:space="preserve">   </w:t>
      </w:r>
    </w:p>
    <w:p w14:paraId="28E3B3EA">
      <w:pPr>
        <w:keepNext w:val="0"/>
        <w:keepLines w:val="0"/>
        <w:pageBreakBefore w:val="0"/>
        <w:widowControl w:val="0"/>
        <w:kinsoku/>
        <w:wordWrap/>
        <w:overflowPunct/>
        <w:topLinePunct w:val="0"/>
        <w:bidi w:val="0"/>
        <w:spacing w:line="360" w:lineRule="auto"/>
        <w:ind w:firstLine="1928" w:firstLineChars="600"/>
        <w:textAlignment w:val="auto"/>
        <w:rPr>
          <w:rFonts w:hint="eastAsia" w:ascii="仿宋" w:hAnsi="仿宋" w:eastAsia="仿宋" w:cs="仿宋"/>
          <w:b/>
          <w:color w:val="auto"/>
          <w:sz w:val="32"/>
          <w:highlight w:val="none"/>
          <w:u w:val="single"/>
          <w:lang w:val="en-US" w:eastAsia="zh-CN"/>
        </w:rPr>
      </w:pPr>
    </w:p>
    <w:p w14:paraId="6CD6C10D">
      <w:pPr>
        <w:spacing w:after="156" w:afterLines="50" w:line="500" w:lineRule="exact"/>
        <w:jc w:val="center"/>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u w:val="single"/>
          <w:lang w:val="en-US" w:eastAsia="zh-CN"/>
        </w:rPr>
        <w:t xml:space="preserve"> </w:t>
      </w:r>
      <w:r>
        <w:rPr>
          <w:rFonts w:hint="eastAsia" w:ascii="仿宋" w:hAnsi="仿宋" w:eastAsia="仿宋" w:cs="仿宋"/>
          <w:b/>
          <w:color w:val="auto"/>
          <w:sz w:val="32"/>
          <w:highlight w:val="none"/>
          <w:u w:val="single"/>
        </w:rPr>
        <w:t xml:space="preserve"> </w:t>
      </w:r>
      <w:bookmarkStart w:id="229" w:name="_Toc3338"/>
      <w:bookmarkStart w:id="230" w:name="_Toc25570"/>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u w:val="single"/>
          <w:lang w:val="en-US" w:eastAsia="zh-CN"/>
        </w:rPr>
        <w:t xml:space="preserve">  </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月</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u w:val="single"/>
          <w:lang w:val="en-US" w:eastAsia="zh-CN"/>
        </w:rPr>
        <w:t xml:space="preserve">  </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日</w:t>
      </w:r>
      <w:bookmarkEnd w:id="229"/>
      <w:bookmarkEnd w:id="230"/>
    </w:p>
    <w:p w14:paraId="2DC0AAB9">
      <w:pPr>
        <w:widowControl/>
        <w:jc w:val="left"/>
        <w:rPr>
          <w:rFonts w:hint="eastAsia" w:ascii="仿宋" w:hAnsi="仿宋" w:eastAsia="仿宋" w:cs="仿宋"/>
          <w:b/>
          <w:color w:val="auto"/>
          <w:sz w:val="28"/>
          <w:highlight w:val="none"/>
        </w:rPr>
      </w:pPr>
      <w:r>
        <w:rPr>
          <w:rFonts w:hint="eastAsia" w:ascii="仿宋" w:hAnsi="仿宋" w:eastAsia="仿宋" w:cs="仿宋"/>
          <w:b/>
          <w:color w:val="auto"/>
          <w:sz w:val="28"/>
          <w:highlight w:val="none"/>
        </w:rPr>
        <w:br w:type="page"/>
      </w:r>
    </w:p>
    <w:p w14:paraId="213F0FB1">
      <w:pPr>
        <w:spacing w:line="360" w:lineRule="auto"/>
        <w:jc w:val="center"/>
        <w:rPr>
          <w:rFonts w:hint="eastAsia" w:ascii="仿宋" w:hAnsi="仿宋" w:eastAsia="仿宋" w:cs="仿宋"/>
          <w:b w:val="0"/>
          <w:bCs/>
          <w:color w:val="auto"/>
          <w:sz w:val="24"/>
          <w:highlight w:val="none"/>
          <w:lang w:eastAsia="zh-CN"/>
        </w:rPr>
      </w:pPr>
      <w:bookmarkStart w:id="231" w:name="_Toc28960"/>
      <w:bookmarkStart w:id="232" w:name="_Toc17986"/>
      <w:r>
        <w:rPr>
          <w:rFonts w:hint="eastAsia" w:ascii="仿宋" w:hAnsi="仿宋" w:eastAsia="仿宋" w:cs="仿宋"/>
          <w:b/>
          <w:color w:val="auto"/>
          <w:sz w:val="24"/>
          <w:highlight w:val="none"/>
          <w:lang w:val="en-US" w:eastAsia="zh-CN"/>
        </w:rPr>
        <w:t>一、</w:t>
      </w:r>
      <w:bookmarkStart w:id="233" w:name="_Toc6120"/>
      <w:bookmarkStart w:id="234" w:name="_Toc6441"/>
      <w:r>
        <w:rPr>
          <w:rFonts w:hint="eastAsia" w:ascii="仿宋" w:hAnsi="仿宋" w:eastAsia="仿宋" w:cs="仿宋"/>
          <w:b/>
          <w:color w:val="auto"/>
          <w:sz w:val="24"/>
          <w:highlight w:val="none"/>
          <w:lang w:val="en-US" w:eastAsia="zh-CN"/>
        </w:rPr>
        <w:t>供应商基本情况</w:t>
      </w:r>
    </w:p>
    <w:p w14:paraId="03B0219A">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营业执照，供应商可根据自身情况另行提供单位简介等相关材料</w:t>
      </w:r>
      <w:r>
        <w:rPr>
          <w:rFonts w:hint="eastAsia" w:ascii="仿宋" w:hAnsi="仿宋" w:eastAsia="仿宋" w:cs="仿宋"/>
          <w:b w:val="0"/>
          <w:bCs/>
          <w:color w:val="auto"/>
          <w:sz w:val="24"/>
          <w:highlight w:val="none"/>
          <w:lang w:eastAsia="zh-CN"/>
        </w:rPr>
        <w:t>）</w:t>
      </w:r>
    </w:p>
    <w:p w14:paraId="5F2DD436">
      <w:pPr>
        <w:spacing w:line="360" w:lineRule="auto"/>
        <w:jc w:val="center"/>
        <w:outlineLvl w:val="1"/>
        <w:rPr>
          <w:rFonts w:hint="eastAsia" w:ascii="仿宋" w:hAnsi="仿宋" w:eastAsia="仿宋" w:cs="仿宋"/>
          <w:b/>
          <w:color w:val="auto"/>
          <w:sz w:val="24"/>
          <w:highlight w:val="none"/>
        </w:rPr>
      </w:pPr>
    </w:p>
    <w:p w14:paraId="1D6DA5D4">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78D9CFF8">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w:t>
      </w:r>
      <w:bookmarkEnd w:id="233"/>
      <w:bookmarkEnd w:id="234"/>
      <w:r>
        <w:rPr>
          <w:rFonts w:hint="eastAsia" w:ascii="仿宋" w:hAnsi="仿宋" w:eastAsia="仿宋" w:cs="仿宋"/>
          <w:b/>
          <w:color w:val="auto"/>
          <w:sz w:val="24"/>
          <w:highlight w:val="none"/>
          <w:lang w:eastAsia="zh-CN"/>
        </w:rPr>
        <w:t>谈判</w:t>
      </w:r>
      <w:r>
        <w:rPr>
          <w:rFonts w:hint="eastAsia" w:ascii="仿宋" w:hAnsi="仿宋" w:eastAsia="仿宋" w:cs="仿宋"/>
          <w:b/>
          <w:color w:val="auto"/>
          <w:sz w:val="24"/>
          <w:highlight w:val="none"/>
        </w:rPr>
        <w:t>响应函</w:t>
      </w:r>
    </w:p>
    <w:p w14:paraId="09C83D10">
      <w:pPr>
        <w:pStyle w:val="8"/>
        <w:spacing w:line="360" w:lineRule="auto"/>
        <w:rPr>
          <w:rFonts w:hint="eastAsia" w:ascii="仿宋" w:hAnsi="仿宋" w:eastAsia="仿宋" w:cs="仿宋"/>
          <w:color w:val="auto"/>
          <w:sz w:val="24"/>
          <w:highlight w:val="none"/>
        </w:rPr>
      </w:pPr>
    </w:p>
    <w:p w14:paraId="0517CCDB">
      <w:pPr>
        <w:pStyle w:val="8"/>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u w:val="single"/>
          <w:lang w:val="en-US" w:eastAsia="zh-CN"/>
        </w:rPr>
        <w:t>名称</w:t>
      </w:r>
    </w:p>
    <w:p w14:paraId="452049C3">
      <w:pPr>
        <w:spacing w:line="360" w:lineRule="auto"/>
        <w:ind w:firstLine="480" w:firstLineChars="200"/>
        <w:rPr>
          <w:rFonts w:hint="eastAsia" w:ascii="仿宋" w:hAnsi="仿宋" w:eastAsia="仿宋" w:cs="仿宋"/>
          <w:dstrike/>
          <w:color w:val="auto"/>
          <w:sz w:val="24"/>
          <w:highlight w:val="none"/>
        </w:rPr>
      </w:pPr>
      <w:r>
        <w:rPr>
          <w:rFonts w:hint="eastAsia" w:ascii="仿宋" w:hAnsi="仿宋" w:eastAsia="仿宋" w:cs="仿宋"/>
          <w:color w:val="auto"/>
          <w:sz w:val="24"/>
          <w:highlight w:val="none"/>
        </w:rPr>
        <w:t>根据贵方的</w:t>
      </w:r>
      <w:r>
        <w:rPr>
          <w:rFonts w:hint="eastAsia" w:ascii="仿宋" w:hAnsi="仿宋" w:eastAsia="仿宋" w:cs="仿宋"/>
          <w:color w:val="auto"/>
          <w:sz w:val="24"/>
          <w:highlight w:val="none"/>
          <w:lang w:eastAsia="zh-CN"/>
        </w:rPr>
        <w:t>采购邀请</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lang w:val="en-US" w:eastAsia="zh-CN"/>
        </w:rPr>
        <w:t>文件</w:t>
      </w:r>
      <w:r>
        <w:rPr>
          <w:rFonts w:hint="eastAsia" w:ascii="仿宋" w:hAnsi="仿宋" w:eastAsia="仿宋" w:cs="仿宋"/>
          <w:color w:val="auto"/>
          <w:sz w:val="24"/>
          <w:highlight w:val="none"/>
        </w:rPr>
        <w:t>，我方兹宣布同意如下：</w:t>
      </w:r>
    </w:p>
    <w:p w14:paraId="30CC450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rPr>
        <w:t>我方根据</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文件的规定，严格履行合同的责任和义务,并保证于买方要求的日期内完成，并通过买方验收。</w:t>
      </w:r>
    </w:p>
    <w:p w14:paraId="6604F8F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2.我方已详细审核全部</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文件，包括</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文件附件及更正公告（如有），我方正式认可并遵守本次</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文件，并对</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文件各项条款、规定及要求均无异议。</w:t>
      </w:r>
    </w:p>
    <w:p w14:paraId="781F7C9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3.我方同意从</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日期起遵循本</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文件，并在</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有效期之前均具有约束力。</w:t>
      </w:r>
    </w:p>
    <w:p w14:paraId="419FAF6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4.我方声明响应文件所提供的一切资料均真实无误、及时、有效，企业运营正常。由于我方提供资料不实而造成的责任和后果由我方承担。我方同意按照贵方提出的要求，提供与</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有关的任何证据、数据或资料。</w:t>
      </w:r>
    </w:p>
    <w:p w14:paraId="77C93BA2">
      <w:pPr>
        <w:spacing w:line="360" w:lineRule="auto"/>
        <w:ind w:firstLine="480" w:firstLineChars="200"/>
        <w:rPr>
          <w:rFonts w:hint="eastAsia" w:ascii="仿宋" w:hAnsi="仿宋" w:eastAsia="仿宋" w:cs="仿宋"/>
          <w:color w:val="auto"/>
          <w:sz w:val="24"/>
          <w:highlight w:val="none"/>
        </w:rPr>
      </w:pPr>
    </w:p>
    <w:p w14:paraId="5CCE0FA0">
      <w:pPr>
        <w:spacing w:line="360" w:lineRule="auto"/>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9B7EDE0">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373B8060">
      <w:pPr>
        <w:spacing w:line="360" w:lineRule="auto"/>
        <w:ind w:firstLine="4800" w:firstLineChars="2000"/>
        <w:rPr>
          <w:rFonts w:hint="eastAsia" w:ascii="仿宋" w:hAnsi="仿宋" w:eastAsia="仿宋" w:cs="仿宋"/>
          <w:color w:val="auto"/>
          <w:sz w:val="24"/>
          <w:highlight w:val="none"/>
          <w:u w:val="single"/>
        </w:rPr>
      </w:pPr>
    </w:p>
    <w:p w14:paraId="4C6C0C68">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color w:val="auto"/>
          <w:sz w:val="24"/>
          <w:highlight w:val="none"/>
          <w:u w:val="single"/>
        </w:rPr>
        <w:br w:type="page"/>
      </w:r>
      <w:bookmarkStart w:id="235" w:name="_Toc18881"/>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、授权书</w:t>
      </w:r>
    </w:p>
    <w:p w14:paraId="7698D85E">
      <w:pPr>
        <w:spacing w:line="360" w:lineRule="auto"/>
        <w:jc w:val="center"/>
        <w:rPr>
          <w:rFonts w:hint="eastAsia" w:ascii="仿宋" w:hAnsi="仿宋" w:eastAsia="仿宋" w:cs="仿宋"/>
          <w:b/>
          <w:color w:val="auto"/>
          <w:sz w:val="24"/>
          <w:highlight w:val="none"/>
        </w:rPr>
      </w:pPr>
    </w:p>
    <w:p w14:paraId="3FF8B02D">
      <w:pPr>
        <w:pStyle w:val="7"/>
        <w:snapToGrid w:val="0"/>
        <w:spacing w:line="360" w:lineRule="auto"/>
        <w:ind w:firstLine="480" w:firstLineChars="200"/>
        <w:jc w:val="both"/>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本授权书声明：</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（供应商名称）授权</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（供应商授权代表姓名）代表我方参加本项目</w:t>
      </w:r>
      <w:r>
        <w:rPr>
          <w:rFonts w:hint="eastAsia" w:ascii="仿宋" w:hAnsi="仿宋" w:eastAsia="仿宋" w:cs="仿宋"/>
          <w:bCs/>
          <w:color w:val="auto"/>
          <w:sz w:val="24"/>
          <w:szCs w:val="28"/>
          <w:highlight w:val="none"/>
        </w:rPr>
        <w:t>采购活动</w:t>
      </w:r>
      <w:r>
        <w:rPr>
          <w:rFonts w:hint="eastAsia" w:ascii="仿宋" w:hAnsi="仿宋" w:eastAsia="仿宋" w:cs="仿宋"/>
          <w:color w:val="auto"/>
          <w:sz w:val="24"/>
          <w:szCs w:val="28"/>
          <w:highlight w:val="none"/>
        </w:rPr>
        <w:t>，全权代表我方处理</w:t>
      </w:r>
      <w:r>
        <w:rPr>
          <w:rFonts w:hint="eastAsia" w:ascii="仿宋" w:hAnsi="仿宋" w:eastAsia="仿宋" w:cs="仿宋"/>
          <w:color w:val="auto"/>
          <w:sz w:val="24"/>
          <w:szCs w:val="28"/>
          <w:highlight w:val="none"/>
          <w:lang w:eastAsia="zh-CN"/>
        </w:rPr>
        <w:t>谈判</w:t>
      </w:r>
      <w:r>
        <w:rPr>
          <w:rFonts w:hint="eastAsia" w:ascii="仿宋" w:hAnsi="仿宋" w:eastAsia="仿宋" w:cs="仿宋"/>
          <w:color w:val="auto"/>
          <w:sz w:val="24"/>
          <w:szCs w:val="28"/>
          <w:highlight w:val="none"/>
        </w:rPr>
        <w:t>过程的一切事宜，包括但不限于：提交响应文件、参与</w:t>
      </w:r>
      <w:r>
        <w:rPr>
          <w:rFonts w:hint="eastAsia" w:ascii="仿宋" w:hAnsi="仿宋" w:eastAsia="仿宋" w:cs="仿宋"/>
          <w:color w:val="auto"/>
          <w:sz w:val="24"/>
          <w:szCs w:val="28"/>
          <w:highlight w:val="none"/>
          <w:lang w:eastAsia="zh-CN"/>
        </w:rPr>
        <w:t>谈判</w:t>
      </w:r>
      <w:r>
        <w:rPr>
          <w:rFonts w:hint="eastAsia" w:ascii="仿宋" w:hAnsi="仿宋" w:eastAsia="仿宋" w:cs="仿宋"/>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6B7F424F">
      <w:pPr>
        <w:pStyle w:val="7"/>
        <w:snapToGrid w:val="0"/>
        <w:spacing w:line="360" w:lineRule="auto"/>
        <w:ind w:firstLine="480" w:firstLineChars="200"/>
        <w:jc w:val="both"/>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本授权书自出具之日起生效。</w:t>
      </w:r>
    </w:p>
    <w:p w14:paraId="5D10620C">
      <w:pPr>
        <w:pStyle w:val="7"/>
        <w:snapToGrid w:val="0"/>
        <w:spacing w:line="360" w:lineRule="auto"/>
        <w:ind w:firstLine="480" w:firstLineChars="200"/>
        <w:jc w:val="left"/>
        <w:rPr>
          <w:rFonts w:hint="eastAsia" w:ascii="仿宋" w:hAnsi="仿宋" w:eastAsia="仿宋" w:cs="仿宋"/>
          <w:color w:val="auto"/>
          <w:sz w:val="24"/>
          <w:szCs w:val="28"/>
          <w:highlight w:val="none"/>
        </w:rPr>
      </w:pPr>
    </w:p>
    <w:p w14:paraId="2EE96B6A">
      <w:pPr>
        <w:pStyle w:val="7"/>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授权代表</w:t>
      </w:r>
      <w:r>
        <w:rPr>
          <w:rFonts w:hint="eastAsia" w:ascii="仿宋" w:hAnsi="仿宋" w:eastAsia="仿宋" w:cs="仿宋"/>
          <w:color w:val="auto"/>
          <w:sz w:val="24"/>
          <w:highlight w:val="none"/>
        </w:rPr>
        <w:t>身份证明扫描件：</w:t>
      </w:r>
    </w:p>
    <w:p w14:paraId="4E09B8A6">
      <w:pPr>
        <w:pStyle w:val="7"/>
        <w:snapToGrid w:val="0"/>
        <w:spacing w:line="360" w:lineRule="auto"/>
        <w:ind w:firstLine="480" w:firstLineChars="200"/>
        <w:jc w:val="left"/>
        <w:rPr>
          <w:rFonts w:hint="eastAsia" w:ascii="仿宋" w:hAnsi="仿宋" w:eastAsia="仿宋" w:cs="仿宋"/>
          <w:color w:val="auto"/>
          <w:sz w:val="24"/>
          <w:highlight w:val="none"/>
        </w:rPr>
      </w:pPr>
    </w:p>
    <w:p w14:paraId="62363B75">
      <w:pPr>
        <w:pStyle w:val="7"/>
        <w:snapToGrid w:val="0"/>
        <w:spacing w:line="360" w:lineRule="auto"/>
        <w:ind w:firstLine="480" w:firstLineChars="200"/>
        <w:jc w:val="left"/>
        <w:rPr>
          <w:rFonts w:hint="eastAsia" w:ascii="仿宋" w:hAnsi="仿宋" w:eastAsia="仿宋" w:cs="仿宋"/>
          <w:color w:val="auto"/>
          <w:sz w:val="24"/>
          <w:highlight w:val="none"/>
        </w:rPr>
      </w:pPr>
    </w:p>
    <w:p w14:paraId="4C2DAEDA">
      <w:pPr>
        <w:pStyle w:val="7"/>
        <w:snapToGrid w:val="0"/>
        <w:spacing w:line="360" w:lineRule="auto"/>
        <w:ind w:firstLine="480" w:firstLineChars="200"/>
        <w:jc w:val="left"/>
        <w:rPr>
          <w:rFonts w:hint="eastAsia" w:ascii="仿宋" w:hAnsi="仿宋" w:eastAsia="仿宋" w:cs="仿宋"/>
          <w:color w:val="auto"/>
          <w:sz w:val="24"/>
          <w:highlight w:val="none"/>
        </w:rPr>
      </w:pPr>
    </w:p>
    <w:p w14:paraId="1BDF9157">
      <w:pPr>
        <w:pStyle w:val="7"/>
        <w:snapToGrid w:val="0"/>
        <w:spacing w:line="360" w:lineRule="auto"/>
        <w:ind w:firstLine="480" w:firstLineChars="200"/>
        <w:jc w:val="left"/>
        <w:rPr>
          <w:rFonts w:hint="eastAsia" w:ascii="仿宋" w:hAnsi="仿宋" w:eastAsia="仿宋" w:cs="仿宋"/>
          <w:color w:val="auto"/>
          <w:sz w:val="24"/>
          <w:highlight w:val="none"/>
        </w:rPr>
      </w:pPr>
    </w:p>
    <w:p w14:paraId="7C5473E3">
      <w:pPr>
        <w:pStyle w:val="7"/>
        <w:snapToGrid w:val="0"/>
        <w:spacing w:line="360" w:lineRule="auto"/>
        <w:ind w:firstLine="480" w:firstLineChars="200"/>
        <w:jc w:val="left"/>
        <w:rPr>
          <w:rFonts w:hint="eastAsia" w:ascii="仿宋" w:hAnsi="仿宋" w:eastAsia="仿宋" w:cs="仿宋"/>
          <w:color w:val="auto"/>
          <w:sz w:val="24"/>
          <w:szCs w:val="28"/>
          <w:highlight w:val="none"/>
          <w:u w:val="single"/>
        </w:rPr>
      </w:pPr>
      <w:r>
        <w:rPr>
          <w:rFonts w:hint="eastAsia" w:ascii="仿宋" w:hAnsi="仿宋" w:eastAsia="仿宋" w:cs="仿宋"/>
          <w:color w:val="auto"/>
          <w:sz w:val="24"/>
          <w:szCs w:val="28"/>
          <w:highlight w:val="none"/>
        </w:rPr>
        <w:t>授权代表联系方式：</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u w:val="none"/>
        </w:rPr>
        <w:t>（请填写手机号码）</w:t>
      </w:r>
    </w:p>
    <w:p w14:paraId="627B1DE2">
      <w:pPr>
        <w:pStyle w:val="7"/>
        <w:snapToGrid w:val="0"/>
        <w:spacing w:line="360" w:lineRule="auto"/>
        <w:ind w:firstLine="480" w:firstLineChars="200"/>
        <w:jc w:val="left"/>
        <w:rPr>
          <w:rFonts w:hint="eastAsia" w:ascii="仿宋" w:hAnsi="仿宋" w:eastAsia="仿宋" w:cs="仿宋"/>
          <w:color w:val="auto"/>
          <w:sz w:val="24"/>
          <w:szCs w:val="28"/>
          <w:highlight w:val="none"/>
        </w:rPr>
      </w:pPr>
    </w:p>
    <w:p w14:paraId="72E10ED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特此声明。</w:t>
      </w:r>
    </w:p>
    <w:p w14:paraId="61A23961">
      <w:pPr>
        <w:spacing w:line="360" w:lineRule="auto"/>
        <w:rPr>
          <w:rFonts w:hint="eastAsia" w:ascii="仿宋" w:hAnsi="仿宋" w:eastAsia="仿宋" w:cs="仿宋"/>
          <w:color w:val="auto"/>
          <w:sz w:val="24"/>
          <w:szCs w:val="28"/>
          <w:highlight w:val="none"/>
        </w:rPr>
      </w:pPr>
    </w:p>
    <w:p w14:paraId="3FA86276">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供应商单位盖章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510DAE0C">
      <w:pPr>
        <w:tabs>
          <w:tab w:val="left" w:pos="630"/>
        </w:tabs>
        <w:spacing w:line="360" w:lineRule="auto"/>
        <w:ind w:firstLine="4800" w:firstLineChars="2000"/>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41890204">
      <w:pPr>
        <w:spacing w:line="360" w:lineRule="auto"/>
        <w:rPr>
          <w:rFonts w:hint="eastAsia" w:ascii="仿宋" w:hAnsi="仿宋" w:eastAsia="仿宋" w:cs="仿宋"/>
          <w:color w:val="auto"/>
          <w:sz w:val="24"/>
          <w:szCs w:val="28"/>
          <w:highlight w:val="none"/>
        </w:rPr>
      </w:pPr>
    </w:p>
    <w:p w14:paraId="2B2AAD24">
      <w:pPr>
        <w:spacing w:line="360" w:lineRule="auto"/>
        <w:rPr>
          <w:rFonts w:hint="eastAsia" w:ascii="仿宋" w:hAnsi="仿宋" w:eastAsia="仿宋" w:cs="仿宋"/>
          <w:color w:val="auto"/>
          <w:sz w:val="24"/>
          <w:szCs w:val="28"/>
          <w:highlight w:val="none"/>
        </w:rPr>
      </w:pPr>
    </w:p>
    <w:p w14:paraId="132B2074">
      <w:pPr>
        <w:pStyle w:val="7"/>
        <w:snapToGrid w:val="0"/>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注：</w:t>
      </w:r>
    </w:p>
    <w:p w14:paraId="224E2BD9">
      <w:pPr>
        <w:pStyle w:val="7"/>
        <w:snapToGrid w:val="0"/>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1.本项目只允许有唯一的供应商授权代表，提供身份证明扫描件；</w:t>
      </w:r>
    </w:p>
    <w:p w14:paraId="63633FF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2.法定代表人参加</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的无需提供授权书，仅提供身份证明扫描件。</w:t>
      </w:r>
    </w:p>
    <w:p w14:paraId="4C663993">
      <w:pPr>
        <w:spacing w:line="360" w:lineRule="auto"/>
        <w:ind w:firstLine="435"/>
        <w:rPr>
          <w:rFonts w:hint="eastAsia" w:ascii="仿宋" w:hAnsi="仿宋" w:eastAsia="仿宋" w:cs="仿宋"/>
          <w:color w:val="auto"/>
          <w:sz w:val="24"/>
          <w:highlight w:val="none"/>
        </w:rPr>
      </w:pPr>
    </w:p>
    <w:p w14:paraId="61D59901">
      <w:pPr>
        <w:rPr>
          <w:rFonts w:hint="eastAsia" w:ascii="仿宋" w:hAnsi="仿宋" w:eastAsia="仿宋" w:cs="仿宋"/>
          <w:color w:val="auto"/>
          <w:sz w:val="24"/>
          <w:highlight w:val="none"/>
          <w:u w:val="single"/>
        </w:rPr>
      </w:pPr>
    </w:p>
    <w:p w14:paraId="1316A6C0">
      <w:pP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br w:type="page"/>
      </w:r>
    </w:p>
    <w:p w14:paraId="65E83FD7">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四、</w:t>
      </w:r>
      <w:bookmarkEnd w:id="235"/>
      <w:r>
        <w:rPr>
          <w:rFonts w:hint="eastAsia" w:ascii="仿宋" w:hAnsi="仿宋" w:eastAsia="仿宋" w:cs="仿宋"/>
          <w:b/>
          <w:color w:val="auto"/>
          <w:sz w:val="24"/>
          <w:highlight w:val="none"/>
        </w:rPr>
        <w:t>供应商资格声明书</w:t>
      </w:r>
    </w:p>
    <w:p w14:paraId="7E352D92">
      <w:pPr>
        <w:pStyle w:val="8"/>
        <w:spacing w:line="360" w:lineRule="auto"/>
        <w:rPr>
          <w:rFonts w:hint="eastAsia" w:ascii="仿宋" w:hAnsi="仿宋" w:eastAsia="仿宋" w:cs="仿宋"/>
          <w:color w:val="auto"/>
          <w:sz w:val="24"/>
          <w:highlight w:val="none"/>
        </w:rPr>
      </w:pPr>
    </w:p>
    <w:p w14:paraId="7E9AB109">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u w:val="single"/>
          <w:lang w:val="en-US" w:eastAsia="zh-CN"/>
        </w:rPr>
        <w:t>名称</w:t>
      </w:r>
    </w:p>
    <w:p w14:paraId="192710C7">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在参与本次项目</w:t>
      </w:r>
      <w:r>
        <w:rPr>
          <w:rFonts w:hint="eastAsia" w:ascii="仿宋" w:hAnsi="仿宋" w:eastAsia="仿宋" w:cs="仿宋"/>
          <w:color w:val="auto"/>
          <w:kern w:val="0"/>
          <w:sz w:val="24"/>
          <w:szCs w:val="24"/>
          <w:highlight w:val="none"/>
          <w:lang w:eastAsia="zh-CN" w:bidi="ar"/>
        </w:rPr>
        <w:t>谈判</w:t>
      </w:r>
      <w:r>
        <w:rPr>
          <w:rFonts w:hint="eastAsia" w:ascii="仿宋" w:hAnsi="仿宋" w:eastAsia="仿宋" w:cs="仿宋"/>
          <w:color w:val="auto"/>
          <w:kern w:val="0"/>
          <w:sz w:val="24"/>
          <w:szCs w:val="24"/>
          <w:highlight w:val="none"/>
          <w:lang w:bidi="ar"/>
        </w:rPr>
        <w:t>中，我单位承诺：</w:t>
      </w:r>
    </w:p>
    <w:p w14:paraId="7D634E46">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（一）具有良好的商业信誉和健全的财务会计制度；</w:t>
      </w:r>
    </w:p>
    <w:p w14:paraId="324AB8CF">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（二）具有履行合同所必需的设备和专业技术能力；</w:t>
      </w:r>
    </w:p>
    <w:p w14:paraId="481C50D5">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（三）有依法缴纳税收和社会保障资金的良好记录；</w:t>
      </w:r>
    </w:p>
    <w:p w14:paraId="135F2E2C">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50EF52">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193CC28">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3FE3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4" w:type="dxa"/>
            <w:vAlign w:val="center"/>
          </w:tcPr>
          <w:p w14:paraId="57DABC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序号</w:t>
            </w:r>
          </w:p>
        </w:tc>
        <w:tc>
          <w:tcPr>
            <w:tcW w:w="4501" w:type="dxa"/>
            <w:vAlign w:val="center"/>
          </w:tcPr>
          <w:p w14:paraId="584A8DB4">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单位名称</w:t>
            </w:r>
          </w:p>
        </w:tc>
        <w:tc>
          <w:tcPr>
            <w:tcW w:w="2681" w:type="dxa"/>
            <w:vAlign w:val="center"/>
          </w:tcPr>
          <w:p w14:paraId="56F466BA">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相互关系</w:t>
            </w:r>
          </w:p>
        </w:tc>
      </w:tr>
      <w:tr w14:paraId="531B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vAlign w:val="center"/>
          </w:tcPr>
          <w:p w14:paraId="24C4B851">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1</w:t>
            </w:r>
          </w:p>
        </w:tc>
        <w:tc>
          <w:tcPr>
            <w:tcW w:w="4501" w:type="dxa"/>
            <w:vAlign w:val="center"/>
          </w:tcPr>
          <w:p w14:paraId="134AC33C">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p>
        </w:tc>
        <w:tc>
          <w:tcPr>
            <w:tcW w:w="2681" w:type="dxa"/>
            <w:vAlign w:val="center"/>
          </w:tcPr>
          <w:p w14:paraId="716E0141">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p>
        </w:tc>
      </w:tr>
      <w:tr w14:paraId="733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vAlign w:val="center"/>
          </w:tcPr>
          <w:p w14:paraId="70578F0E">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2</w:t>
            </w:r>
          </w:p>
        </w:tc>
        <w:tc>
          <w:tcPr>
            <w:tcW w:w="4501" w:type="dxa"/>
            <w:vAlign w:val="center"/>
          </w:tcPr>
          <w:p w14:paraId="64DFA140">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p>
        </w:tc>
        <w:tc>
          <w:tcPr>
            <w:tcW w:w="2681" w:type="dxa"/>
            <w:vAlign w:val="center"/>
          </w:tcPr>
          <w:p w14:paraId="61E62C2F">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highlight w:val="none"/>
                <w:lang w:val="en-US" w:bidi="ar"/>
              </w:rPr>
            </w:pPr>
          </w:p>
        </w:tc>
      </w:tr>
    </w:tbl>
    <w:p w14:paraId="1D302D8B">
      <w:pPr>
        <w:spacing w:line="360" w:lineRule="auto"/>
        <w:ind w:firstLine="435"/>
        <w:rPr>
          <w:rFonts w:hint="eastAsia" w:ascii="仿宋" w:hAnsi="仿宋" w:eastAsia="仿宋" w:cs="仿宋"/>
          <w:color w:val="auto"/>
          <w:sz w:val="24"/>
          <w:highlight w:val="none"/>
        </w:rPr>
      </w:pPr>
    </w:p>
    <w:p w14:paraId="4903AB0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E517A7D">
      <w:pPr>
        <w:spacing w:line="360" w:lineRule="auto"/>
        <w:ind w:firstLine="4800" w:firstLineChars="2000"/>
        <w:rPr>
          <w:rFonts w:hint="eastAsia" w:ascii="仿宋" w:hAnsi="仿宋" w:eastAsia="仿宋" w:cs="仿宋"/>
          <w:color w:val="auto"/>
          <w:sz w:val="24"/>
          <w:highlight w:val="none"/>
        </w:rPr>
      </w:pPr>
    </w:p>
    <w:p w14:paraId="15DA5B24">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供应商单位盖章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6E6A09F7">
      <w:pPr>
        <w:tabs>
          <w:tab w:val="left" w:pos="630"/>
        </w:tabs>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40ED56CB">
      <w:pPr>
        <w:tabs>
          <w:tab w:val="left" w:pos="630"/>
        </w:tabs>
        <w:spacing w:line="360" w:lineRule="auto"/>
        <w:ind w:firstLine="4800" w:firstLineChars="2000"/>
        <w:rPr>
          <w:rFonts w:hint="eastAsia" w:ascii="仿宋" w:hAnsi="仿宋" w:eastAsia="仿宋" w:cs="仿宋"/>
          <w:color w:val="auto"/>
          <w:sz w:val="24"/>
          <w:highlight w:val="none"/>
          <w:u w:val="single"/>
        </w:rPr>
      </w:pPr>
    </w:p>
    <w:p w14:paraId="1A4468EF">
      <w:pPr>
        <w:rPr>
          <w:rFonts w:hint="eastAsia" w:ascii="仿宋" w:hAnsi="仿宋" w:eastAsia="仿宋" w:cs="仿宋"/>
          <w:color w:val="auto"/>
          <w:sz w:val="24"/>
          <w:highlight w:val="none"/>
          <w:u w:val="single"/>
        </w:rPr>
      </w:pPr>
    </w:p>
    <w:p w14:paraId="4FE66894">
      <w:pPr>
        <w:widowControl/>
        <w:jc w:val="left"/>
        <w:rPr>
          <w:rFonts w:hint="eastAsia" w:ascii="仿宋" w:hAnsi="仿宋" w:eastAsia="仿宋" w:cs="仿宋"/>
          <w:color w:val="auto"/>
          <w:sz w:val="24"/>
          <w:highlight w:val="none"/>
          <w:u w:val="single"/>
        </w:rPr>
      </w:pPr>
    </w:p>
    <w:p w14:paraId="1F282C76">
      <w:pPr>
        <w:rPr>
          <w:rFonts w:hint="eastAsia" w:ascii="仿宋" w:hAnsi="仿宋" w:eastAsia="仿宋" w:cs="仿宋"/>
          <w:b/>
          <w:color w:val="auto"/>
          <w:sz w:val="24"/>
          <w:highlight w:val="none"/>
        </w:rPr>
      </w:pPr>
    </w:p>
    <w:p w14:paraId="236A745C">
      <w:pPr>
        <w:rPr>
          <w:rFonts w:hint="eastAsia" w:ascii="仿宋" w:hAnsi="仿宋" w:eastAsia="仿宋" w:cs="仿宋"/>
          <w:b/>
          <w:color w:val="auto"/>
          <w:sz w:val="24"/>
          <w:highlight w:val="none"/>
        </w:rPr>
      </w:pPr>
    </w:p>
    <w:p w14:paraId="16DFDB2F">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04CB3FF5">
      <w:pPr>
        <w:spacing w:line="360" w:lineRule="auto"/>
        <w:jc w:val="center"/>
        <w:outlineLvl w:val="1"/>
        <w:rPr>
          <w:rFonts w:hint="eastAsia" w:ascii="仿宋" w:hAnsi="仿宋" w:eastAsia="仿宋" w:cs="仿宋"/>
          <w:b/>
          <w:color w:val="auto"/>
          <w:sz w:val="24"/>
          <w:highlight w:val="none"/>
        </w:rPr>
      </w:pPr>
      <w:bookmarkStart w:id="236" w:name="_Toc24583"/>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诚信履约承诺函</w:t>
      </w:r>
    </w:p>
    <w:p w14:paraId="1DC26D1F">
      <w:pPr>
        <w:spacing w:line="360" w:lineRule="auto"/>
        <w:rPr>
          <w:rFonts w:hint="eastAsia" w:ascii="仿宋" w:hAnsi="仿宋" w:eastAsia="仿宋" w:cs="仿宋"/>
          <w:b/>
          <w:bCs/>
          <w:color w:val="auto"/>
          <w:sz w:val="24"/>
          <w:highlight w:val="none"/>
        </w:rPr>
      </w:pPr>
    </w:p>
    <w:p w14:paraId="6FF85D71">
      <w:pPr>
        <w:spacing w:line="360" w:lineRule="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u w:val="single"/>
        </w:rPr>
        <w:t>采购人</w:t>
      </w:r>
      <w:r>
        <w:rPr>
          <w:rFonts w:hint="eastAsia" w:ascii="仿宋" w:hAnsi="仿宋" w:eastAsia="仿宋" w:cs="仿宋"/>
          <w:b/>
          <w:bCs/>
          <w:color w:val="auto"/>
          <w:sz w:val="24"/>
          <w:highlight w:val="none"/>
          <w:u w:val="single"/>
          <w:lang w:val="en-US" w:eastAsia="zh-CN"/>
        </w:rPr>
        <w:t>名称</w:t>
      </w:r>
    </w:p>
    <w:p w14:paraId="2CBBB108">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FA28A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（1）中标或者成交后无正当理由拒不与采购人签订政府采购合同；</w:t>
      </w:r>
    </w:p>
    <w:p w14:paraId="62AB5404">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（2）未按照采购文件确定的事项签订政府采购合同；</w:t>
      </w:r>
    </w:p>
    <w:p w14:paraId="032B4E8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（3）将政府采购合同转包；</w:t>
      </w:r>
    </w:p>
    <w:p w14:paraId="0BC3A34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（4）提供假冒伪劣产品；</w:t>
      </w:r>
    </w:p>
    <w:p w14:paraId="462AE647">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（5）擅自变更、中止或者终止政府采购合同。</w:t>
      </w:r>
    </w:p>
    <w:p w14:paraId="65F58ACF">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62E3CD">
      <w:pPr>
        <w:spacing w:line="360" w:lineRule="auto"/>
        <w:rPr>
          <w:rFonts w:hint="eastAsia" w:ascii="仿宋" w:hAnsi="仿宋" w:eastAsia="仿宋" w:cs="仿宋"/>
          <w:bCs/>
          <w:color w:val="auto"/>
          <w:sz w:val="24"/>
          <w:highlight w:val="none"/>
        </w:rPr>
      </w:pPr>
    </w:p>
    <w:p w14:paraId="45856CC5">
      <w:pPr>
        <w:spacing w:line="360" w:lineRule="auto"/>
        <w:rPr>
          <w:rFonts w:hint="eastAsia" w:ascii="仿宋" w:hAnsi="仿宋" w:eastAsia="仿宋" w:cs="仿宋"/>
          <w:bCs/>
          <w:color w:val="auto"/>
          <w:sz w:val="24"/>
          <w:highlight w:val="none"/>
        </w:rPr>
      </w:pPr>
    </w:p>
    <w:p w14:paraId="3620C219">
      <w:pPr>
        <w:spacing w:line="360" w:lineRule="auto"/>
        <w:ind w:firstLine="4320" w:firstLineChars="18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lang w:eastAsia="zh-CN"/>
        </w:rPr>
        <w:t>供应商单位盖章</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 xml:space="preserve">             </w:t>
      </w:r>
    </w:p>
    <w:p w14:paraId="48A0ABEF">
      <w:pPr>
        <w:spacing w:line="360" w:lineRule="auto"/>
        <w:ind w:firstLine="4320" w:firstLineChars="18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r>
        <w:rPr>
          <w:rFonts w:hint="eastAsia" w:ascii="仿宋" w:hAnsi="仿宋" w:eastAsia="仿宋" w:cs="仿宋"/>
          <w:bCs/>
          <w:color w:val="auto"/>
          <w:sz w:val="24"/>
          <w:highlight w:val="none"/>
          <w:u w:val="single"/>
        </w:rPr>
        <w:t xml:space="preserve">             </w:t>
      </w:r>
    </w:p>
    <w:p w14:paraId="4E75688D">
      <w:pP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br w:type="page"/>
      </w:r>
    </w:p>
    <w:p w14:paraId="07A9B7D1">
      <w:pPr>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六、无重大违法记录声明函、无不良信用记录承诺函</w:t>
      </w:r>
    </w:p>
    <w:p w14:paraId="54528594">
      <w:pPr>
        <w:pStyle w:val="15"/>
        <w:spacing w:line="400" w:lineRule="atLeast"/>
        <w:ind w:firstLine="2891" w:firstLineChars="1200"/>
        <w:rPr>
          <w:rFonts w:hint="eastAsia" w:ascii="仿宋" w:hAnsi="仿宋" w:eastAsia="仿宋" w:cs="仿宋"/>
          <w:b/>
          <w:color w:val="auto"/>
          <w:sz w:val="24"/>
          <w:szCs w:val="24"/>
          <w:highlight w:val="none"/>
          <w:lang w:val="zh-CN"/>
        </w:rPr>
      </w:pPr>
    </w:p>
    <w:p w14:paraId="20BBE6D2">
      <w:pPr>
        <w:pStyle w:val="1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无重大违法记录声明函</w:t>
      </w:r>
    </w:p>
    <w:p w14:paraId="4311264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5A1C2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1B336D2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仿宋" w:hAnsi="仿宋" w:eastAsia="仿宋" w:cs="仿宋"/>
          <w:color w:val="auto"/>
          <w:sz w:val="24"/>
          <w:szCs w:val="24"/>
          <w:highlight w:val="none"/>
        </w:rPr>
      </w:pPr>
    </w:p>
    <w:p w14:paraId="40A6F69C">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val="en-US" w:eastAsia="zh-CN"/>
        </w:rPr>
        <w:t>供应商单位盖章</w:t>
      </w:r>
      <w:r>
        <w:rPr>
          <w:rFonts w:hint="eastAsia" w:ascii="仿宋" w:hAnsi="仿宋" w:eastAsia="仿宋" w:cs="仿宋"/>
          <w:bCs/>
          <w:color w:val="auto"/>
          <w:sz w:val="24"/>
          <w:szCs w:val="24"/>
          <w:highlight w:val="none"/>
        </w:rPr>
        <w:t>：</w:t>
      </w:r>
    </w:p>
    <w:p w14:paraId="638149B3">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期：</w:t>
      </w:r>
    </w:p>
    <w:p w14:paraId="6268BBD9">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hint="eastAsia" w:ascii="仿宋" w:hAnsi="仿宋" w:eastAsia="仿宋" w:cs="仿宋"/>
          <w:color w:val="auto"/>
          <w:kern w:val="2"/>
          <w:sz w:val="24"/>
          <w:szCs w:val="20"/>
          <w:highlight w:val="none"/>
          <w:lang w:val="en-US" w:eastAsia="zh-CN" w:bidi="ar-SA"/>
        </w:rPr>
      </w:pPr>
    </w:p>
    <w:p w14:paraId="6D90A697">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hint="eastAsia" w:ascii="仿宋" w:hAnsi="仿宋" w:eastAsia="仿宋" w:cs="仿宋"/>
          <w:color w:val="auto"/>
          <w:kern w:val="2"/>
          <w:sz w:val="24"/>
          <w:szCs w:val="20"/>
          <w:highlight w:val="none"/>
          <w:lang w:val="en-US" w:eastAsia="zh-CN" w:bidi="ar-SA"/>
        </w:rPr>
      </w:pPr>
    </w:p>
    <w:p w14:paraId="1B33B6BD">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zh-CN"/>
        </w:rPr>
        <w:t>无不良信用记录承诺函</w:t>
      </w:r>
    </w:p>
    <w:p w14:paraId="551BB0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本公司郑重承诺，我公司无以下不良信用记录情形：</w:t>
      </w:r>
    </w:p>
    <w:p w14:paraId="31D56A6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1、公司被人民法院列入失信被执行人；</w:t>
      </w:r>
    </w:p>
    <w:p w14:paraId="7E18AB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2、公司被市场监督管理部门列入</w:t>
      </w:r>
      <w:r>
        <w:rPr>
          <w:rFonts w:hint="eastAsia" w:ascii="仿宋" w:hAnsi="仿宋" w:eastAsia="仿宋" w:cs="仿宋"/>
          <w:color w:val="auto"/>
          <w:sz w:val="24"/>
          <w:szCs w:val="24"/>
          <w:highlight w:val="none"/>
          <w:lang w:eastAsia="zh-CN"/>
        </w:rPr>
        <w:t>严重违法失信企业</w:t>
      </w:r>
      <w:r>
        <w:rPr>
          <w:rFonts w:hint="eastAsia" w:ascii="仿宋" w:hAnsi="仿宋" w:eastAsia="仿宋" w:cs="仿宋"/>
          <w:color w:val="auto"/>
          <w:sz w:val="24"/>
          <w:szCs w:val="24"/>
          <w:highlight w:val="none"/>
        </w:rPr>
        <w:t>名录；</w:t>
      </w:r>
    </w:p>
    <w:p w14:paraId="586B37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3、公司被税务部门列入重大税收违法案件当事人名单的；</w:t>
      </w:r>
    </w:p>
    <w:p w14:paraId="6B397A8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4、公司被政府采购监管部门列入政府采购严重违法失信行为记录名单。</w:t>
      </w:r>
    </w:p>
    <w:p w14:paraId="180930E2">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2376AFCE">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highlight w:val="none"/>
        </w:rPr>
      </w:pPr>
    </w:p>
    <w:p w14:paraId="12AC33A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val="en-US" w:eastAsia="zh-CN"/>
        </w:rPr>
        <w:t>供应商单位盖章</w:t>
      </w:r>
      <w:r>
        <w:rPr>
          <w:rFonts w:hint="eastAsia" w:ascii="仿宋" w:hAnsi="仿宋" w:eastAsia="仿宋" w:cs="仿宋"/>
          <w:bCs/>
          <w:color w:val="auto"/>
          <w:sz w:val="24"/>
          <w:szCs w:val="24"/>
          <w:highlight w:val="none"/>
        </w:rPr>
        <w:t>：</w:t>
      </w:r>
    </w:p>
    <w:p w14:paraId="22D79B9D">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p w14:paraId="3080A14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bookmarkEnd w:id="236"/>
    <w:p w14:paraId="55D70E41">
      <w:pPr>
        <w:spacing w:line="360" w:lineRule="auto"/>
        <w:jc w:val="center"/>
        <w:outlineLvl w:val="1"/>
        <w:rPr>
          <w:rFonts w:hint="eastAsia" w:ascii="仿宋" w:hAnsi="仿宋" w:eastAsia="仿宋" w:cs="仿宋"/>
          <w:b/>
          <w:color w:val="auto"/>
          <w:sz w:val="24"/>
          <w:highlight w:val="none"/>
          <w:lang w:val="en-US" w:eastAsia="zh-CN"/>
        </w:rPr>
      </w:pPr>
      <w:bookmarkStart w:id="237" w:name="_Toc23068"/>
      <w:r>
        <w:rPr>
          <w:rFonts w:hint="eastAsia" w:ascii="仿宋" w:hAnsi="仿宋" w:eastAsia="仿宋" w:cs="仿宋"/>
          <w:b/>
          <w:color w:val="auto"/>
          <w:sz w:val="24"/>
          <w:highlight w:val="none"/>
          <w:lang w:val="en-US" w:eastAsia="zh-CN"/>
        </w:rPr>
        <w:t>七、中小企业声明函</w:t>
      </w:r>
      <w:bookmarkEnd w:id="237"/>
    </w:p>
    <w:p w14:paraId="6E5184CD">
      <w:pPr>
        <w:pStyle w:val="5"/>
        <w:jc w:val="center"/>
        <w:rPr>
          <w:rFonts w:hint="eastAsia" w:ascii="仿宋" w:hAnsi="仿宋" w:eastAsia="仿宋" w:cs="仿宋"/>
          <w:b w:val="0"/>
          <w:i w:val="0"/>
          <w:iCs/>
          <w:color w:val="auto"/>
          <w:sz w:val="24"/>
          <w:highlight w:val="none"/>
          <w:lang w:val="en-US" w:eastAsia="zh-CN"/>
        </w:rPr>
      </w:pPr>
      <w:r>
        <w:rPr>
          <w:rFonts w:hint="eastAsia" w:ascii="仿宋" w:hAnsi="仿宋" w:eastAsia="仿宋" w:cs="仿宋"/>
          <w:b w:val="0"/>
          <w:i w:val="0"/>
          <w:iCs/>
          <w:color w:val="auto"/>
          <w:sz w:val="24"/>
          <w:highlight w:val="none"/>
          <w:lang w:val="en-US" w:eastAsia="zh-CN"/>
        </w:rPr>
        <w:t>（</w:t>
      </w:r>
      <w:r>
        <w:rPr>
          <w:rFonts w:hint="eastAsia" w:ascii="仿宋" w:hAnsi="仿宋" w:eastAsia="仿宋" w:cs="仿宋"/>
          <w:b w:val="0"/>
          <w:i w:val="0"/>
          <w:iCs/>
          <w:color w:val="auto"/>
          <w:sz w:val="24"/>
          <w:highlight w:val="none"/>
          <w:lang w:val="zh-CN" w:eastAsia="zh-CN"/>
        </w:rPr>
        <w:t>非中小企业</w:t>
      </w:r>
      <w:r>
        <w:rPr>
          <w:rFonts w:hint="eastAsia" w:ascii="仿宋" w:hAnsi="仿宋" w:eastAsia="仿宋" w:cs="仿宋"/>
          <w:b w:val="0"/>
          <w:i w:val="0"/>
          <w:iCs/>
          <w:color w:val="auto"/>
          <w:sz w:val="24"/>
          <w:highlight w:val="none"/>
          <w:lang w:val="en-US" w:eastAsia="zh-CN"/>
        </w:rPr>
        <w:t>谈判不需此件）</w:t>
      </w:r>
    </w:p>
    <w:p w14:paraId="2843BF9B">
      <w:pPr>
        <w:rPr>
          <w:rFonts w:hint="eastAsia" w:ascii="仿宋" w:hAnsi="仿宋" w:eastAsia="仿宋" w:cs="仿宋"/>
          <w:color w:val="auto"/>
          <w:sz w:val="24"/>
          <w:szCs w:val="24"/>
          <w:highlight w:val="none"/>
        </w:rPr>
      </w:pPr>
    </w:p>
    <w:p w14:paraId="654CCDCA">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val="zh-CN"/>
        </w:rPr>
        <w:t>（单位</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u w:val="single"/>
          <w:lang w:val="zh-CN"/>
        </w:rPr>
        <w:t>）</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u w:val="single"/>
          <w:lang w:val="zh-CN"/>
        </w:rPr>
        <w:t>（项目</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u w:val="single"/>
          <w:lang w:val="zh-CN"/>
        </w:rPr>
        <w:t>）</w:t>
      </w:r>
      <w:r>
        <w:rPr>
          <w:rFonts w:hint="eastAsia" w:ascii="仿宋" w:hAnsi="仿宋" w:eastAsia="仿宋" w:cs="仿宋"/>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1CDF848">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行业；承接企业为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lang w:val="zh-CN"/>
        </w:rPr>
        <w:t>小型企业</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lang w:val="zh-CN"/>
        </w:rPr>
        <w:t>微型企业）</w:t>
      </w:r>
      <w:r>
        <w:rPr>
          <w:rFonts w:hint="eastAsia" w:ascii="仿宋" w:hAnsi="仿宋" w:eastAsia="仿宋" w:cs="仿宋"/>
          <w:color w:val="auto"/>
          <w:sz w:val="24"/>
          <w:szCs w:val="24"/>
          <w:highlight w:val="none"/>
          <w:lang w:val="zh-CN"/>
        </w:rPr>
        <w:t>；</w:t>
      </w:r>
    </w:p>
    <w:p w14:paraId="0600F31C">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行业；承接企业为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lang w:val="zh-CN"/>
        </w:rPr>
        <w:t>小型企业</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lang w:val="zh-CN"/>
        </w:rPr>
        <w:t>微型企业）</w:t>
      </w:r>
      <w:r>
        <w:rPr>
          <w:rFonts w:hint="eastAsia" w:ascii="仿宋" w:hAnsi="仿宋" w:eastAsia="仿宋" w:cs="仿宋"/>
          <w:color w:val="auto"/>
          <w:sz w:val="24"/>
          <w:szCs w:val="24"/>
          <w:highlight w:val="none"/>
          <w:lang w:val="zh-CN"/>
        </w:rPr>
        <w:t>；</w:t>
      </w:r>
    </w:p>
    <w:p w14:paraId="4443B05A">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p>
    <w:p w14:paraId="0DB3A34C">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以上企业，不属于大企业的分支机构，不存在控股股东为大企业的情形，也不存在与大企业的负责人为同一人的情形。</w:t>
      </w:r>
    </w:p>
    <w:p w14:paraId="56C09BA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本企业对上述声明内容的真实性负责。如有虚假，将依法承担相应责任。 </w:t>
      </w:r>
    </w:p>
    <w:p w14:paraId="72557F10">
      <w:pPr>
        <w:spacing w:line="360" w:lineRule="auto"/>
        <w:ind w:firstLine="435"/>
        <w:rPr>
          <w:rFonts w:hint="eastAsia" w:ascii="仿宋" w:hAnsi="仿宋" w:eastAsia="仿宋" w:cs="仿宋"/>
          <w:color w:val="auto"/>
          <w:sz w:val="24"/>
          <w:szCs w:val="24"/>
          <w:highlight w:val="none"/>
        </w:rPr>
      </w:pPr>
    </w:p>
    <w:p w14:paraId="5E52313F">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供应商单位盖章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7296A330">
      <w:pPr>
        <w:tabs>
          <w:tab w:val="left" w:pos="4620"/>
        </w:tabs>
        <w:spacing w:line="360" w:lineRule="auto"/>
        <w:ind w:firstLine="4252" w:firstLineChars="177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209FD67A">
      <w:pPr>
        <w:tabs>
          <w:tab w:val="left" w:pos="4620"/>
        </w:tabs>
        <w:spacing w:line="360" w:lineRule="auto"/>
        <w:jc w:val="left"/>
        <w:rPr>
          <w:rFonts w:hint="eastAsia" w:ascii="仿宋" w:hAnsi="仿宋" w:eastAsia="仿宋" w:cs="仿宋"/>
          <w:color w:val="auto"/>
          <w:sz w:val="24"/>
          <w:szCs w:val="24"/>
          <w:highlight w:val="none"/>
        </w:rPr>
      </w:pPr>
    </w:p>
    <w:p w14:paraId="4017C028">
      <w:pPr>
        <w:tabs>
          <w:tab w:val="left" w:pos="4620"/>
        </w:tabs>
        <w:spacing w:line="360" w:lineRule="auto"/>
        <w:jc w:val="both"/>
        <w:outlineLvl w:val="9"/>
        <w:rPr>
          <w:rFonts w:hint="eastAsia" w:ascii="仿宋" w:hAnsi="仿宋" w:eastAsia="仿宋" w:cs="仿宋"/>
          <w:b/>
          <w:color w:val="auto"/>
          <w:sz w:val="24"/>
          <w:szCs w:val="32"/>
          <w:highlight w:val="none"/>
          <w:lang w:eastAsia="zh-CN"/>
        </w:rPr>
      </w:pPr>
      <w:r>
        <w:rPr>
          <w:rFonts w:hint="eastAsia" w:ascii="仿宋" w:hAnsi="仿宋" w:eastAsia="仿宋" w:cs="仿宋"/>
          <w:b/>
          <w:color w:val="auto"/>
          <w:sz w:val="24"/>
          <w:szCs w:val="32"/>
          <w:highlight w:val="none"/>
          <w:lang w:eastAsia="zh-CN"/>
        </w:rPr>
        <w:t>注：</w:t>
      </w:r>
    </w:p>
    <w:p w14:paraId="4218C1DC">
      <w:pPr>
        <w:tabs>
          <w:tab w:val="left" w:pos="4620"/>
        </w:tabs>
        <w:spacing w:line="360" w:lineRule="auto"/>
        <w:jc w:val="both"/>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1.从业人员、营业收入、资产总额填报上一年数据，无上一年数据的新成立企业可不填报。</w:t>
      </w:r>
    </w:p>
    <w:p w14:paraId="76DB995E">
      <w:pPr>
        <w:tabs>
          <w:tab w:val="left" w:pos="4620"/>
        </w:tabs>
        <w:spacing w:line="360" w:lineRule="auto"/>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仿宋" w:hAnsi="仿宋" w:eastAsia="仿宋" w:cs="仿宋"/>
          <w:b w:val="0"/>
          <w:bCs w:val="0"/>
          <w:color w:val="auto"/>
          <w:sz w:val="24"/>
          <w:szCs w:val="24"/>
          <w:highlight w:val="none"/>
          <w:lang w:val="zh-CN"/>
        </w:rPr>
        <w:t>如有虚假，将依法承担相应责任。</w:t>
      </w:r>
      <w:r>
        <w:rPr>
          <w:rFonts w:hint="eastAsia" w:ascii="仿宋" w:hAnsi="仿宋" w:eastAsia="仿宋" w:cs="仿宋"/>
          <w:b w:val="0"/>
          <w:bCs w:val="0"/>
          <w:color w:val="auto"/>
          <w:sz w:val="24"/>
          <w:szCs w:val="24"/>
          <w:highlight w:val="none"/>
        </w:rPr>
        <w:t>投标人</w:t>
      </w:r>
      <w:r>
        <w:rPr>
          <w:rFonts w:hint="eastAsia" w:ascii="仿宋" w:hAnsi="仿宋" w:eastAsia="仿宋" w:cs="仿宋"/>
          <w:b w:val="0"/>
          <w:bCs w:val="0"/>
          <w:color w:val="auto"/>
          <w:sz w:val="24"/>
          <w:szCs w:val="24"/>
          <w:highlight w:val="none"/>
          <w:lang w:val="en-US" w:eastAsia="zh-CN"/>
        </w:rPr>
        <w:t>可</w:t>
      </w:r>
      <w:r>
        <w:rPr>
          <w:rFonts w:hint="eastAsia" w:ascii="仿宋" w:hAnsi="仿宋" w:eastAsia="仿宋" w:cs="仿宋"/>
          <w:b w:val="0"/>
          <w:bCs w:val="0"/>
          <w:color w:val="auto"/>
          <w:sz w:val="24"/>
          <w:szCs w:val="24"/>
          <w:highlight w:val="none"/>
        </w:rPr>
        <w:t>自行登录工业和信息化部官网（查询网址https://www.miit.gov.cn）进行中小企业规模类型自测。</w:t>
      </w:r>
    </w:p>
    <w:p w14:paraId="1281F9B7">
      <w:pPr>
        <w:tabs>
          <w:tab w:val="left" w:pos="4620"/>
        </w:tabs>
        <w:spacing w:line="360" w:lineRule="auto"/>
        <w:jc w:val="both"/>
        <w:rPr>
          <w:rFonts w:hint="eastAsia" w:ascii="仿宋" w:hAnsi="仿宋" w:eastAsia="仿宋" w:cs="仿宋"/>
          <w:b/>
          <w:bCs/>
          <w:color w:val="auto"/>
          <w:sz w:val="24"/>
          <w:szCs w:val="32"/>
          <w:highlight w:val="none"/>
        </w:rPr>
      </w:pPr>
      <w:r>
        <w:rPr>
          <w:rFonts w:hint="eastAsia" w:ascii="仿宋" w:hAnsi="仿宋" w:eastAsia="仿宋" w:cs="仿宋"/>
          <w:b w:val="0"/>
          <w:bCs w:val="0"/>
          <w:color w:val="auto"/>
          <w:sz w:val="24"/>
          <w:szCs w:val="24"/>
          <w:highlight w:val="none"/>
        </w:rPr>
        <w:t>3.上述</w:t>
      </w: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zh-CN"/>
        </w:rPr>
        <w:t>标的名称</w:t>
      </w: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及</w:t>
      </w:r>
      <w:r>
        <w:rPr>
          <w:rFonts w:hint="eastAsia" w:ascii="仿宋" w:hAnsi="仿宋" w:eastAsia="仿宋" w:cs="仿宋"/>
          <w:b w:val="0"/>
          <w:bCs w:val="0"/>
          <w:color w:val="auto"/>
          <w:sz w:val="24"/>
          <w:szCs w:val="24"/>
          <w:highlight w:val="none"/>
          <w:u w:val="none"/>
        </w:rPr>
        <w:t>“采购文件中明确的所属行业”</w:t>
      </w:r>
      <w:r>
        <w:rPr>
          <w:rFonts w:hint="eastAsia" w:ascii="仿宋" w:hAnsi="仿宋" w:eastAsia="仿宋" w:cs="仿宋"/>
          <w:b w:val="0"/>
          <w:bCs w:val="0"/>
          <w:color w:val="auto"/>
          <w:sz w:val="24"/>
          <w:szCs w:val="24"/>
          <w:highlight w:val="none"/>
        </w:rPr>
        <w:t>，详见第三章采购需求前附表。</w:t>
      </w:r>
    </w:p>
    <w:p w14:paraId="0D6D2852">
      <w:pPr>
        <w:rPr>
          <w:rFonts w:hint="eastAsia" w:ascii="仿宋" w:hAnsi="仿宋" w:eastAsia="仿宋" w:cs="仿宋"/>
          <w:b/>
          <w:color w:val="auto"/>
          <w:sz w:val="24"/>
          <w:highlight w:val="none"/>
        </w:rPr>
      </w:pPr>
      <w:bookmarkStart w:id="238" w:name="_Toc16713"/>
      <w:r>
        <w:rPr>
          <w:rFonts w:hint="eastAsia" w:ascii="仿宋" w:hAnsi="仿宋" w:eastAsia="仿宋" w:cs="仿宋"/>
          <w:b/>
          <w:color w:val="auto"/>
          <w:sz w:val="24"/>
          <w:highlight w:val="none"/>
        </w:rPr>
        <w:br w:type="page"/>
      </w:r>
    </w:p>
    <w:p w14:paraId="40C8A933">
      <w:pPr>
        <w:spacing w:line="360" w:lineRule="auto"/>
        <w:jc w:val="center"/>
        <w:outlineLvl w:val="1"/>
        <w:rPr>
          <w:rFonts w:hint="eastAsia" w:ascii="仿宋" w:hAnsi="仿宋" w:eastAsia="仿宋" w:cs="仿宋"/>
          <w:b/>
          <w:color w:val="auto"/>
          <w:sz w:val="24"/>
          <w:highlight w:val="none"/>
          <w:lang w:val="en-US" w:eastAsia="zh-CN"/>
        </w:rPr>
      </w:pPr>
      <w:bookmarkStart w:id="239" w:name="_Toc17315"/>
      <w:r>
        <w:rPr>
          <w:rFonts w:hint="eastAsia" w:ascii="仿宋" w:hAnsi="仿宋" w:eastAsia="仿宋" w:cs="仿宋"/>
          <w:b/>
          <w:color w:val="auto"/>
          <w:sz w:val="24"/>
          <w:highlight w:val="none"/>
          <w:lang w:val="en-US" w:eastAsia="zh-CN"/>
        </w:rPr>
        <w:t>八、残疾人福利性单位声明函</w:t>
      </w:r>
      <w:bookmarkEnd w:id="238"/>
      <w:bookmarkEnd w:id="239"/>
    </w:p>
    <w:p w14:paraId="5849A52F">
      <w:pPr>
        <w:pStyle w:val="5"/>
        <w:jc w:val="center"/>
        <w:rPr>
          <w:rFonts w:hint="eastAsia" w:ascii="仿宋" w:hAnsi="仿宋" w:eastAsia="仿宋" w:cs="仿宋"/>
          <w:b w:val="0"/>
          <w:i w:val="0"/>
          <w:iCs/>
          <w:color w:val="auto"/>
          <w:sz w:val="24"/>
          <w:highlight w:val="none"/>
          <w:lang w:val="en-US" w:eastAsia="zh-CN"/>
        </w:rPr>
      </w:pPr>
      <w:r>
        <w:rPr>
          <w:rFonts w:hint="eastAsia" w:ascii="仿宋" w:hAnsi="仿宋" w:eastAsia="仿宋" w:cs="仿宋"/>
          <w:b w:val="0"/>
          <w:i w:val="0"/>
          <w:iCs/>
          <w:color w:val="auto"/>
          <w:sz w:val="24"/>
          <w:highlight w:val="none"/>
          <w:lang w:val="en-US" w:eastAsia="zh-CN"/>
        </w:rPr>
        <w:t>（非残疾人福利性单位谈判不需此件）</w:t>
      </w:r>
    </w:p>
    <w:p w14:paraId="64E770F9">
      <w:pPr>
        <w:spacing w:line="360" w:lineRule="auto"/>
        <w:ind w:firstLine="435"/>
        <w:rPr>
          <w:rFonts w:hint="eastAsia" w:ascii="仿宋" w:hAnsi="仿宋" w:eastAsia="仿宋" w:cs="仿宋"/>
          <w:color w:val="auto"/>
          <w:spacing w:val="6"/>
          <w:sz w:val="24"/>
          <w:szCs w:val="24"/>
          <w:highlight w:val="none"/>
        </w:rPr>
      </w:pPr>
    </w:p>
    <w:p w14:paraId="23977F26">
      <w:pPr>
        <w:spacing w:line="360" w:lineRule="auto"/>
        <w:ind w:firstLine="43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w:t>
      </w:r>
      <w:r>
        <w:rPr>
          <w:rFonts w:hint="eastAsia" w:ascii="仿宋" w:hAnsi="仿宋" w:eastAsia="仿宋" w:cs="仿宋"/>
          <w:color w:val="auto"/>
          <w:sz w:val="24"/>
          <w:highlight w:val="none"/>
        </w:rPr>
        <w:t>郑重</w:t>
      </w:r>
      <w:r>
        <w:rPr>
          <w:rFonts w:hint="eastAsia" w:ascii="仿宋" w:hAnsi="仿宋" w:eastAsia="仿宋" w:cs="仿宋"/>
          <w:color w:val="auto"/>
          <w:spacing w:val="6"/>
          <w:sz w:val="24"/>
          <w:szCs w:val="24"/>
          <w:highlight w:val="none"/>
        </w:rPr>
        <w:t>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号）的规定，本单位为</w:t>
      </w:r>
      <w:r>
        <w:rPr>
          <w:rFonts w:hint="eastAsia" w:ascii="仿宋" w:hAnsi="仿宋" w:eastAsia="仿宋" w:cs="仿宋"/>
          <w:bCs/>
          <w:color w:val="auto"/>
          <w:sz w:val="24"/>
          <w:szCs w:val="24"/>
          <w:highlight w:val="none"/>
        </w:rPr>
        <w:t>符合</w:t>
      </w:r>
      <w:r>
        <w:rPr>
          <w:rFonts w:hint="eastAsia" w:ascii="仿宋" w:hAnsi="仿宋" w:eastAsia="仿宋" w:cs="仿宋"/>
          <w:color w:val="auto"/>
          <w:spacing w:val="6"/>
          <w:sz w:val="24"/>
          <w:szCs w:val="24"/>
          <w:highlight w:val="none"/>
        </w:rPr>
        <w:t>条件的残疾人福利性单位，且本单位参加</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项目采购活动</w:t>
      </w:r>
      <w:r>
        <w:rPr>
          <w:rFonts w:hint="eastAsia" w:ascii="仿宋" w:hAnsi="仿宋" w:eastAsia="仿宋" w:cs="仿宋"/>
          <w:color w:val="auto"/>
          <w:spacing w:val="6"/>
          <w:sz w:val="24"/>
          <w:szCs w:val="24"/>
          <w:highlight w:val="none"/>
          <w:lang w:val="en-US" w:eastAsia="zh-CN"/>
        </w:rPr>
        <w:t>由本单位提供服务</w:t>
      </w:r>
      <w:r>
        <w:rPr>
          <w:rFonts w:hint="eastAsia" w:ascii="仿宋" w:hAnsi="仿宋" w:eastAsia="仿宋" w:cs="仿宋"/>
          <w:color w:val="auto"/>
          <w:spacing w:val="6"/>
          <w:sz w:val="24"/>
          <w:szCs w:val="24"/>
          <w:highlight w:val="none"/>
        </w:rPr>
        <w:t>，或者</w:t>
      </w:r>
      <w:r>
        <w:rPr>
          <w:rFonts w:hint="eastAsia" w:ascii="仿宋" w:hAnsi="仿宋" w:eastAsia="仿宋" w:cs="仿宋"/>
          <w:color w:val="auto"/>
          <w:spacing w:val="6"/>
          <w:sz w:val="24"/>
          <w:szCs w:val="24"/>
          <w:highlight w:val="none"/>
          <w:lang w:val="en-US" w:eastAsia="zh-CN"/>
        </w:rPr>
        <w:t>由</w:t>
      </w:r>
      <w:r>
        <w:rPr>
          <w:rFonts w:hint="eastAsia" w:ascii="仿宋" w:hAnsi="仿宋" w:eastAsia="仿宋" w:cs="仿宋"/>
          <w:color w:val="auto"/>
          <w:spacing w:val="6"/>
          <w:sz w:val="24"/>
          <w:szCs w:val="24"/>
          <w:highlight w:val="none"/>
        </w:rPr>
        <w:t>其他残疾人福利性单位</w:t>
      </w:r>
      <w:r>
        <w:rPr>
          <w:rFonts w:hint="eastAsia" w:ascii="仿宋" w:hAnsi="仿宋" w:eastAsia="仿宋" w:cs="仿宋"/>
          <w:color w:val="auto"/>
          <w:spacing w:val="6"/>
          <w:sz w:val="24"/>
          <w:szCs w:val="24"/>
          <w:highlight w:val="none"/>
          <w:lang w:val="en-US" w:eastAsia="zh-CN"/>
        </w:rPr>
        <w:t>提供服务</w:t>
      </w:r>
      <w:r>
        <w:rPr>
          <w:rFonts w:hint="eastAsia" w:ascii="仿宋" w:hAnsi="仿宋" w:eastAsia="仿宋" w:cs="仿宋"/>
          <w:color w:val="auto"/>
          <w:spacing w:val="6"/>
          <w:sz w:val="24"/>
          <w:szCs w:val="24"/>
          <w:highlight w:val="none"/>
        </w:rPr>
        <w:t>。</w:t>
      </w:r>
    </w:p>
    <w:p w14:paraId="53CF47F3">
      <w:pPr>
        <w:spacing w:line="360" w:lineRule="auto"/>
        <w:ind w:firstLine="43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7ABC0195">
      <w:pPr>
        <w:spacing w:line="360" w:lineRule="auto"/>
        <w:ind w:firstLine="4228" w:firstLineChars="1762"/>
        <w:rPr>
          <w:rFonts w:hint="eastAsia" w:ascii="仿宋" w:hAnsi="仿宋" w:eastAsia="仿宋" w:cs="仿宋"/>
          <w:color w:val="auto"/>
          <w:sz w:val="24"/>
          <w:szCs w:val="24"/>
          <w:highlight w:val="none"/>
        </w:rPr>
      </w:pPr>
    </w:p>
    <w:p w14:paraId="6FA82C15">
      <w:pPr>
        <w:spacing w:line="360" w:lineRule="auto"/>
        <w:ind w:firstLine="4228" w:firstLineChars="1762"/>
        <w:rPr>
          <w:rFonts w:hint="eastAsia" w:ascii="仿宋" w:hAnsi="仿宋" w:eastAsia="仿宋" w:cs="仿宋"/>
          <w:color w:val="auto"/>
          <w:sz w:val="24"/>
          <w:szCs w:val="24"/>
          <w:highlight w:val="none"/>
        </w:rPr>
      </w:pPr>
    </w:p>
    <w:p w14:paraId="48171B54">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供应商单位盖章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1EF39193">
      <w:pPr>
        <w:tabs>
          <w:tab w:val="left" w:pos="4620"/>
        </w:tabs>
        <w:spacing w:line="360" w:lineRule="auto"/>
        <w:ind w:firstLine="4252" w:firstLineChars="177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1CA48B49">
      <w:pPr>
        <w:rPr>
          <w:rFonts w:hint="eastAsia" w:ascii="仿宋" w:hAnsi="仿宋" w:eastAsia="仿宋" w:cs="仿宋"/>
          <w:b/>
          <w:color w:val="auto"/>
          <w:sz w:val="24"/>
          <w:highlight w:val="none"/>
        </w:rPr>
      </w:pPr>
    </w:p>
    <w:p w14:paraId="73C433E7">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36244FC4">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、联合协议</w:t>
      </w:r>
    </w:p>
    <w:p w14:paraId="1F860FFB">
      <w:pPr>
        <w:pStyle w:val="14"/>
        <w:spacing w:line="360" w:lineRule="auto"/>
        <w:rPr>
          <w:rFonts w:hint="eastAsia" w:ascii="仿宋" w:hAnsi="仿宋" w:eastAsia="仿宋" w:cs="仿宋"/>
          <w:color w:val="auto"/>
          <w:sz w:val="24"/>
          <w:highlight w:val="none"/>
        </w:rPr>
      </w:pPr>
      <w:r>
        <w:rPr>
          <w:rFonts w:hint="eastAsia" w:ascii="仿宋" w:hAnsi="仿宋" w:eastAsia="仿宋" w:cs="仿宋"/>
          <w:b w:val="0"/>
          <w:i w:val="0"/>
          <w:iCs/>
          <w:color w:val="auto"/>
          <w:sz w:val="24"/>
          <w:highlight w:val="none"/>
        </w:rPr>
        <w:t>（不允许联合体</w:t>
      </w:r>
      <w:r>
        <w:rPr>
          <w:rFonts w:hint="eastAsia" w:ascii="仿宋" w:hAnsi="仿宋" w:eastAsia="仿宋" w:cs="仿宋"/>
          <w:b w:val="0"/>
          <w:i w:val="0"/>
          <w:iCs/>
          <w:color w:val="auto"/>
          <w:sz w:val="24"/>
          <w:highlight w:val="none"/>
          <w:lang w:val="en-US" w:eastAsia="zh-CN"/>
        </w:rPr>
        <w:t>谈判</w:t>
      </w:r>
      <w:r>
        <w:rPr>
          <w:rFonts w:hint="eastAsia" w:ascii="仿宋" w:hAnsi="仿宋" w:eastAsia="仿宋" w:cs="仿宋"/>
          <w:b w:val="0"/>
          <w:i w:val="0"/>
          <w:iCs/>
          <w:color w:val="auto"/>
          <w:sz w:val="24"/>
          <w:highlight w:val="none"/>
        </w:rPr>
        <w:t>或未组成联合体</w:t>
      </w:r>
      <w:r>
        <w:rPr>
          <w:rFonts w:hint="eastAsia" w:ascii="仿宋" w:hAnsi="仿宋" w:eastAsia="仿宋" w:cs="仿宋"/>
          <w:b w:val="0"/>
          <w:i w:val="0"/>
          <w:iCs/>
          <w:color w:val="auto"/>
          <w:sz w:val="24"/>
          <w:highlight w:val="none"/>
          <w:lang w:eastAsia="zh-CN"/>
        </w:rPr>
        <w:t>的</w:t>
      </w:r>
      <w:r>
        <w:rPr>
          <w:rFonts w:hint="eastAsia" w:ascii="仿宋" w:hAnsi="仿宋" w:eastAsia="仿宋" w:cs="仿宋"/>
          <w:b w:val="0"/>
          <w:i w:val="0"/>
          <w:iCs/>
          <w:color w:val="auto"/>
          <w:sz w:val="24"/>
          <w:highlight w:val="none"/>
        </w:rPr>
        <w:t>，不需此件）</w:t>
      </w:r>
    </w:p>
    <w:p w14:paraId="2B27C399">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联合体成员一名称：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65A7D98">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联合体成员二名称：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B769A26">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w:t>
      </w:r>
    </w:p>
    <w:p w14:paraId="172FE52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上述各成员单位经过友好协商，自愿组成联合体，共同参加本项目的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，现就联合体参加</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事宜订立如下协议：</w:t>
      </w:r>
    </w:p>
    <w:p w14:paraId="7436537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（成员单位名称）为联合体牵头人。</w:t>
      </w:r>
    </w:p>
    <w:p w14:paraId="1A7E345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2.在本项目</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阶段，联合体牵头人负责</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项目的一切组织、协调工作，并授权代理人以联合体的名义参加项目的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，代理人在</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、合同签订过程中所签署的一切文件和处理与本次</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有关的一切事务，联合体各方均予以承认并承担法律责任。联合体成交后，联合体各方共同与采购人签订合同，就本项目对采购人承担连带责任。</w:t>
      </w:r>
    </w:p>
    <w:p w14:paraId="7A51B5A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3.联合体各成员单位内部的职责分工及各方负责内容的合同金额占总合同金额的百分比如下：</w:t>
      </w:r>
    </w:p>
    <w:p w14:paraId="3EB58619">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联合体成员一名称：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工作，负责内容的合同金额占总合同金额的百分比：</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B19E3F1">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联合体成员二名称：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工作，负责内容的合同金额占总合同金额的百分比：</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1BE5EDF">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w:t>
      </w:r>
    </w:p>
    <w:p w14:paraId="037E5F1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工作和联合体在成交后项目实施过程中的有关费用按各自承担的工作量分摊。</w:t>
      </w:r>
    </w:p>
    <w:p w14:paraId="35E5E94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5．联合体成交后，本联合协议是合同的附件，对联合体各成员单位有合同约束力。</w:t>
      </w:r>
    </w:p>
    <w:p w14:paraId="22B31A4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6．本协议书自签署之日起生效，联合体未成交或者合同履行完毕后自动失效。</w:t>
      </w:r>
    </w:p>
    <w:p w14:paraId="06696AC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14:paraId="500768F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4A98547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14:paraId="7AB6B2C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556F3E6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80C4DDC">
      <w:pPr>
        <w:pStyle w:val="14"/>
        <w:spacing w:line="360" w:lineRule="auto"/>
        <w:rPr>
          <w:rFonts w:hint="eastAsia" w:ascii="仿宋" w:hAnsi="仿宋" w:eastAsia="仿宋" w:cs="仿宋"/>
          <w:color w:val="auto"/>
          <w:sz w:val="24"/>
          <w:highlight w:val="none"/>
        </w:rPr>
      </w:pPr>
    </w:p>
    <w:p w14:paraId="565FE1EA">
      <w:pPr>
        <w:jc w:val="righ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年   月   日</w:t>
      </w:r>
    </w:p>
    <w:p w14:paraId="00BC8499">
      <w:pPr>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p>
    <w:p w14:paraId="1FE40733">
      <w:pPr>
        <w:spacing w:line="360" w:lineRule="auto"/>
        <w:jc w:val="center"/>
        <w:outlineLvl w:val="1"/>
        <w:rPr>
          <w:rFonts w:hint="eastAsia" w:ascii="仿宋" w:hAnsi="仿宋" w:eastAsia="仿宋" w:cs="仿宋"/>
          <w:b/>
          <w:color w:val="auto"/>
          <w:sz w:val="24"/>
          <w:highlight w:val="none"/>
          <w:lang w:val="en-US" w:eastAsia="zh-CN"/>
        </w:rPr>
      </w:pPr>
      <w:bookmarkStart w:id="240" w:name="_Toc32534"/>
      <w:r>
        <w:rPr>
          <w:rFonts w:hint="eastAsia" w:ascii="仿宋" w:hAnsi="仿宋" w:eastAsia="仿宋" w:cs="仿宋"/>
          <w:b/>
          <w:color w:val="auto"/>
          <w:sz w:val="24"/>
          <w:highlight w:val="none"/>
          <w:lang w:val="en-US" w:eastAsia="zh-CN"/>
        </w:rPr>
        <w:t>十、拟分包情况说明及分包意向协议</w:t>
      </w:r>
      <w:bookmarkEnd w:id="240"/>
    </w:p>
    <w:p w14:paraId="1A80E1C3">
      <w:pPr>
        <w:pStyle w:val="5"/>
        <w:jc w:val="center"/>
        <w:rPr>
          <w:rFonts w:hint="eastAsia" w:ascii="仿宋" w:hAnsi="仿宋" w:eastAsia="仿宋" w:cs="仿宋"/>
          <w:b w:val="0"/>
          <w:bCs w:val="0"/>
          <w:i w:val="0"/>
          <w:iCs w:val="0"/>
          <w:color w:val="auto"/>
          <w:kern w:val="2"/>
          <w:sz w:val="24"/>
          <w:szCs w:val="18"/>
          <w:highlight w:val="none"/>
          <w:lang w:val="en-US" w:eastAsia="zh-CN" w:bidi="ar-SA"/>
        </w:rPr>
      </w:pPr>
      <w:r>
        <w:rPr>
          <w:rFonts w:hint="eastAsia" w:ascii="仿宋" w:hAnsi="仿宋" w:eastAsia="仿宋" w:cs="仿宋"/>
          <w:b w:val="0"/>
          <w:bCs w:val="0"/>
          <w:i w:val="0"/>
          <w:iCs w:val="0"/>
          <w:color w:val="auto"/>
          <w:kern w:val="2"/>
          <w:sz w:val="24"/>
          <w:szCs w:val="18"/>
          <w:highlight w:val="none"/>
          <w:lang w:val="en-US" w:eastAsia="zh-CN" w:bidi="ar-SA"/>
        </w:rPr>
        <w:t>（</w:t>
      </w:r>
      <w:r>
        <w:rPr>
          <w:rFonts w:hint="eastAsia" w:ascii="仿宋" w:hAnsi="仿宋" w:eastAsia="仿宋" w:cs="仿宋"/>
          <w:b w:val="0"/>
          <w:i w:val="0"/>
          <w:iCs w:val="0"/>
          <w:color w:val="auto"/>
          <w:sz w:val="24"/>
          <w:highlight w:val="none"/>
        </w:rPr>
        <w:t>不允许</w:t>
      </w:r>
      <w:r>
        <w:rPr>
          <w:rFonts w:hint="eastAsia" w:ascii="仿宋" w:hAnsi="仿宋" w:eastAsia="仿宋" w:cs="仿宋"/>
          <w:b w:val="0"/>
          <w:i w:val="0"/>
          <w:iCs w:val="0"/>
          <w:color w:val="auto"/>
          <w:sz w:val="24"/>
          <w:highlight w:val="none"/>
          <w:lang w:val="en-US" w:eastAsia="zh-CN"/>
        </w:rPr>
        <w:t>合同分包</w:t>
      </w:r>
      <w:r>
        <w:rPr>
          <w:rFonts w:hint="eastAsia" w:ascii="仿宋" w:hAnsi="仿宋" w:eastAsia="仿宋" w:cs="仿宋"/>
          <w:b w:val="0"/>
          <w:i w:val="0"/>
          <w:iCs w:val="0"/>
          <w:color w:val="auto"/>
          <w:sz w:val="24"/>
          <w:highlight w:val="none"/>
        </w:rPr>
        <w:t>或未</w:t>
      </w:r>
      <w:r>
        <w:rPr>
          <w:rFonts w:hint="eastAsia" w:ascii="仿宋" w:hAnsi="仿宋" w:eastAsia="仿宋" w:cs="仿宋"/>
          <w:b w:val="0"/>
          <w:i w:val="0"/>
          <w:iCs w:val="0"/>
          <w:color w:val="auto"/>
          <w:sz w:val="24"/>
          <w:highlight w:val="none"/>
          <w:lang w:val="en-US" w:eastAsia="zh-CN"/>
        </w:rPr>
        <w:t>采用合同分包的</w:t>
      </w:r>
      <w:r>
        <w:rPr>
          <w:rFonts w:hint="eastAsia" w:ascii="仿宋" w:hAnsi="仿宋" w:eastAsia="仿宋" w:cs="仿宋"/>
          <w:b w:val="0"/>
          <w:i w:val="0"/>
          <w:iCs w:val="0"/>
          <w:color w:val="auto"/>
          <w:sz w:val="24"/>
          <w:highlight w:val="none"/>
        </w:rPr>
        <w:t>，</w:t>
      </w:r>
      <w:r>
        <w:rPr>
          <w:rFonts w:hint="eastAsia" w:ascii="仿宋" w:hAnsi="仿宋" w:eastAsia="仿宋" w:cs="仿宋"/>
          <w:b w:val="0"/>
          <w:bCs w:val="0"/>
          <w:i w:val="0"/>
          <w:iCs w:val="0"/>
          <w:color w:val="auto"/>
          <w:kern w:val="2"/>
          <w:sz w:val="24"/>
          <w:szCs w:val="18"/>
          <w:highlight w:val="none"/>
          <w:lang w:val="en-US" w:eastAsia="zh-CN" w:bidi="ar-SA"/>
        </w:rPr>
        <w:t>不需</w:t>
      </w:r>
      <w:r>
        <w:rPr>
          <w:rFonts w:hint="eastAsia" w:ascii="仿宋" w:hAnsi="仿宋" w:eastAsia="仿宋" w:cs="仿宋"/>
          <w:b w:val="0"/>
          <w:i w:val="0"/>
          <w:iCs w:val="0"/>
          <w:color w:val="auto"/>
          <w:sz w:val="24"/>
          <w:highlight w:val="none"/>
          <w:lang w:val="en-US" w:eastAsia="zh-CN"/>
        </w:rPr>
        <w:t>此件）</w:t>
      </w:r>
    </w:p>
    <w:p w14:paraId="58365449">
      <w:pPr>
        <w:spacing w:line="360" w:lineRule="auto"/>
        <w:jc w:val="center"/>
        <w:outlineLvl w:val="2"/>
        <w:rPr>
          <w:rFonts w:hint="eastAsia" w:ascii="仿宋" w:hAnsi="仿宋" w:eastAsia="仿宋" w:cs="仿宋"/>
          <w:b/>
          <w:color w:val="auto"/>
          <w:sz w:val="24"/>
          <w:highlight w:val="none"/>
          <w:lang w:val="en-US" w:eastAsia="zh-CN"/>
        </w:rPr>
      </w:pPr>
    </w:p>
    <w:p w14:paraId="33E4379E">
      <w:pPr>
        <w:spacing w:line="360" w:lineRule="auto"/>
        <w:jc w:val="center"/>
        <w:outlineLvl w:val="9"/>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（一）拟分包情况说明</w:t>
      </w:r>
    </w:p>
    <w:p w14:paraId="5D630A86">
      <w:pPr>
        <w:pStyle w:val="8"/>
        <w:spacing w:line="360" w:lineRule="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采购人</w:t>
      </w:r>
      <w:r>
        <w:rPr>
          <w:rFonts w:hint="eastAsia" w:ascii="仿宋" w:hAnsi="仿宋" w:eastAsia="仿宋" w:cs="仿宋"/>
          <w:color w:val="auto"/>
          <w:sz w:val="24"/>
          <w:highlight w:val="none"/>
          <w:u w:val="single"/>
          <w:lang w:val="en-US" w:eastAsia="zh-CN"/>
        </w:rPr>
        <w:t>名称</w:t>
      </w:r>
    </w:p>
    <w:p w14:paraId="17EC3048">
      <w:pPr>
        <w:pStyle w:val="5"/>
        <w:spacing w:before="181" w:line="359" w:lineRule="auto"/>
        <w:ind w:left="9" w:right="54" w:firstLine="481"/>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我单位参加</w:t>
      </w:r>
      <w:r>
        <w:rPr>
          <w:rFonts w:hint="eastAsia" w:ascii="仿宋" w:hAnsi="仿宋" w:eastAsia="仿宋" w:cs="仿宋"/>
          <w:color w:val="auto"/>
          <w:spacing w:val="-3"/>
          <w:sz w:val="24"/>
          <w:szCs w:val="24"/>
          <w:highlight w:val="none"/>
          <w:lang w:val="en-US" w:eastAsia="zh-CN"/>
        </w:rPr>
        <w:t>本项目</w:t>
      </w:r>
      <w:r>
        <w:rPr>
          <w:rFonts w:hint="eastAsia" w:ascii="仿宋" w:hAnsi="仿宋" w:eastAsia="仿宋" w:cs="仿宋"/>
          <w:color w:val="auto"/>
          <w:sz w:val="24"/>
          <w:highlight w:val="none"/>
          <w:lang w:eastAsia="zh-CN"/>
        </w:rPr>
        <w:t>谈判</w:t>
      </w:r>
      <w:r>
        <w:rPr>
          <w:rFonts w:hint="eastAsia" w:ascii="仿宋" w:hAnsi="仿宋" w:eastAsia="仿宋" w:cs="仿宋"/>
          <w:color w:val="auto"/>
          <w:kern w:val="2"/>
          <w:sz w:val="24"/>
          <w:szCs w:val="20"/>
          <w:highlight w:val="none"/>
          <w:lang w:val="en-US" w:eastAsia="zh-CN" w:bidi="ar-SA"/>
        </w:rPr>
        <w:t>，拟签订分包合同的单位情况如下表所示，我单位承诺一旦在该项目中获得采购合同将按下表所列情况进行分包，同时承诺分包承担主体不再次分包。</w:t>
      </w:r>
    </w:p>
    <w:tbl>
      <w:tblPr>
        <w:tblStyle w:val="36"/>
        <w:tblW w:w="9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286"/>
        <w:gridCol w:w="1684"/>
        <w:gridCol w:w="1122"/>
        <w:gridCol w:w="1390"/>
        <w:gridCol w:w="1497"/>
        <w:gridCol w:w="1569"/>
      </w:tblGrid>
      <w:tr w14:paraId="7C12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606" w:type="dxa"/>
            <w:textDirection w:val="tbRlV"/>
            <w:vAlign w:val="center"/>
          </w:tcPr>
          <w:p w14:paraId="17EEC06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序号</w:t>
            </w:r>
          </w:p>
        </w:tc>
        <w:tc>
          <w:tcPr>
            <w:tcW w:w="1286" w:type="dxa"/>
            <w:vAlign w:val="center"/>
          </w:tcPr>
          <w:p w14:paraId="62F165E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分包承担主体名称</w:t>
            </w:r>
          </w:p>
        </w:tc>
        <w:tc>
          <w:tcPr>
            <w:tcW w:w="1684" w:type="dxa"/>
            <w:vAlign w:val="center"/>
          </w:tcPr>
          <w:p w14:paraId="2B24AA2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分包承担主体类型（选择）</w:t>
            </w:r>
          </w:p>
        </w:tc>
        <w:tc>
          <w:tcPr>
            <w:tcW w:w="1122" w:type="dxa"/>
            <w:vAlign w:val="center"/>
          </w:tcPr>
          <w:p w14:paraId="3685EF5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资质等级</w:t>
            </w:r>
          </w:p>
        </w:tc>
        <w:tc>
          <w:tcPr>
            <w:tcW w:w="1390" w:type="dxa"/>
            <w:vAlign w:val="center"/>
          </w:tcPr>
          <w:p w14:paraId="7ABB376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拟分包合同内容</w:t>
            </w:r>
          </w:p>
        </w:tc>
        <w:tc>
          <w:tcPr>
            <w:tcW w:w="1497" w:type="dxa"/>
            <w:vAlign w:val="center"/>
          </w:tcPr>
          <w:p w14:paraId="04EE92D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拟分包合同金额（人民币元）</w:t>
            </w:r>
          </w:p>
        </w:tc>
        <w:tc>
          <w:tcPr>
            <w:tcW w:w="1569" w:type="dxa"/>
            <w:vAlign w:val="center"/>
          </w:tcPr>
          <w:p w14:paraId="010CAED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占合同金额的比例（%）</w:t>
            </w:r>
          </w:p>
        </w:tc>
      </w:tr>
      <w:tr w14:paraId="56F31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06" w:type="dxa"/>
            <w:vAlign w:val="center"/>
          </w:tcPr>
          <w:p w14:paraId="29D07385">
            <w:pPr>
              <w:pStyle w:val="37"/>
              <w:spacing w:before="69" w:line="19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86" w:type="dxa"/>
            <w:vAlign w:val="center"/>
          </w:tcPr>
          <w:p w14:paraId="2F3DB28F">
            <w:pPr>
              <w:pStyle w:val="37"/>
              <w:jc w:val="both"/>
              <w:rPr>
                <w:rFonts w:hint="eastAsia" w:ascii="仿宋" w:hAnsi="仿宋" w:eastAsia="仿宋" w:cs="仿宋"/>
                <w:color w:val="auto"/>
                <w:highlight w:val="none"/>
              </w:rPr>
            </w:pPr>
          </w:p>
        </w:tc>
        <w:tc>
          <w:tcPr>
            <w:tcW w:w="1684" w:type="dxa"/>
            <w:vAlign w:val="center"/>
          </w:tcPr>
          <w:p w14:paraId="60FDB7B0">
            <w:pPr>
              <w:pStyle w:val="37"/>
              <w:spacing w:before="37" w:line="221" w:lineRule="auto"/>
              <w:ind w:left="134"/>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□中型企业</w:t>
            </w:r>
          </w:p>
          <w:p w14:paraId="2DAF9B7F">
            <w:pPr>
              <w:pStyle w:val="37"/>
              <w:spacing w:before="22" w:line="223" w:lineRule="auto"/>
              <w:ind w:left="373" w:right="208" w:hanging="239"/>
              <w:jc w:val="both"/>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rPr>
              <w:t>□小微企</w:t>
            </w:r>
            <w:r>
              <w:rPr>
                <w:rFonts w:hint="eastAsia" w:ascii="仿宋" w:hAnsi="仿宋" w:eastAsia="仿宋" w:cs="仿宋"/>
                <w:color w:val="auto"/>
                <w:spacing w:val="11"/>
                <w:sz w:val="24"/>
                <w:szCs w:val="24"/>
                <w:highlight w:val="none"/>
                <w:lang w:val="en-US" w:eastAsia="zh-CN"/>
              </w:rPr>
              <w:t>业</w:t>
            </w:r>
          </w:p>
          <w:p w14:paraId="34208ADC">
            <w:pPr>
              <w:pStyle w:val="37"/>
              <w:spacing w:before="22" w:line="223" w:lineRule="auto"/>
              <w:ind w:left="373" w:right="208" w:hanging="239"/>
              <w:jc w:val="both"/>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□其他</w:t>
            </w:r>
          </w:p>
        </w:tc>
        <w:tc>
          <w:tcPr>
            <w:tcW w:w="1122" w:type="dxa"/>
            <w:vAlign w:val="center"/>
          </w:tcPr>
          <w:p w14:paraId="710B62A5">
            <w:pPr>
              <w:pStyle w:val="37"/>
              <w:jc w:val="both"/>
              <w:rPr>
                <w:rFonts w:hint="eastAsia" w:ascii="仿宋" w:hAnsi="仿宋" w:eastAsia="仿宋" w:cs="仿宋"/>
                <w:color w:val="auto"/>
                <w:highlight w:val="none"/>
              </w:rPr>
            </w:pPr>
          </w:p>
        </w:tc>
        <w:tc>
          <w:tcPr>
            <w:tcW w:w="1390" w:type="dxa"/>
            <w:vAlign w:val="center"/>
          </w:tcPr>
          <w:p w14:paraId="071FE57E">
            <w:pPr>
              <w:pStyle w:val="37"/>
              <w:jc w:val="both"/>
              <w:rPr>
                <w:rFonts w:hint="eastAsia" w:ascii="仿宋" w:hAnsi="仿宋" w:eastAsia="仿宋" w:cs="仿宋"/>
                <w:color w:val="auto"/>
                <w:highlight w:val="none"/>
              </w:rPr>
            </w:pPr>
          </w:p>
        </w:tc>
        <w:tc>
          <w:tcPr>
            <w:tcW w:w="1497" w:type="dxa"/>
            <w:vAlign w:val="center"/>
          </w:tcPr>
          <w:p w14:paraId="34AC6C17">
            <w:pPr>
              <w:pStyle w:val="37"/>
              <w:jc w:val="both"/>
              <w:rPr>
                <w:rFonts w:hint="eastAsia" w:ascii="仿宋" w:hAnsi="仿宋" w:eastAsia="仿宋" w:cs="仿宋"/>
                <w:color w:val="auto"/>
                <w:highlight w:val="none"/>
              </w:rPr>
            </w:pPr>
          </w:p>
        </w:tc>
        <w:tc>
          <w:tcPr>
            <w:tcW w:w="1569" w:type="dxa"/>
            <w:vAlign w:val="center"/>
          </w:tcPr>
          <w:p w14:paraId="514F1C7A">
            <w:pPr>
              <w:pStyle w:val="37"/>
              <w:jc w:val="both"/>
              <w:rPr>
                <w:rFonts w:hint="eastAsia" w:ascii="仿宋" w:hAnsi="仿宋" w:eastAsia="仿宋" w:cs="仿宋"/>
                <w:color w:val="auto"/>
                <w:highlight w:val="none"/>
              </w:rPr>
            </w:pPr>
          </w:p>
        </w:tc>
      </w:tr>
      <w:tr w14:paraId="6F3B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606" w:type="dxa"/>
            <w:vAlign w:val="center"/>
          </w:tcPr>
          <w:p w14:paraId="492A627E">
            <w:pPr>
              <w:pStyle w:val="37"/>
              <w:spacing w:before="69" w:line="201"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w:t>
            </w:r>
          </w:p>
        </w:tc>
        <w:tc>
          <w:tcPr>
            <w:tcW w:w="1286" w:type="dxa"/>
            <w:vAlign w:val="center"/>
          </w:tcPr>
          <w:p w14:paraId="109C125A">
            <w:pPr>
              <w:pStyle w:val="37"/>
              <w:jc w:val="both"/>
              <w:rPr>
                <w:rFonts w:hint="eastAsia" w:ascii="仿宋" w:hAnsi="仿宋" w:eastAsia="仿宋" w:cs="仿宋"/>
                <w:color w:val="auto"/>
                <w:highlight w:val="none"/>
              </w:rPr>
            </w:pPr>
          </w:p>
        </w:tc>
        <w:tc>
          <w:tcPr>
            <w:tcW w:w="1684" w:type="dxa"/>
            <w:vAlign w:val="center"/>
          </w:tcPr>
          <w:p w14:paraId="11644EF1">
            <w:pPr>
              <w:pStyle w:val="37"/>
              <w:spacing w:before="38" w:line="221" w:lineRule="auto"/>
              <w:ind w:left="134"/>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□中型企业</w:t>
            </w:r>
          </w:p>
          <w:p w14:paraId="05526C05">
            <w:pPr>
              <w:pStyle w:val="37"/>
              <w:spacing w:before="25" w:line="222" w:lineRule="auto"/>
              <w:ind w:left="373" w:right="208" w:hanging="239"/>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□小微企</w:t>
            </w:r>
            <w:r>
              <w:rPr>
                <w:rFonts w:hint="eastAsia" w:ascii="仿宋" w:hAnsi="仿宋" w:eastAsia="仿宋" w:cs="仿宋"/>
                <w:color w:val="auto"/>
                <w:spacing w:val="11"/>
                <w:sz w:val="24"/>
                <w:szCs w:val="24"/>
                <w:highlight w:val="none"/>
                <w:lang w:val="en-US" w:eastAsia="zh-CN"/>
              </w:rPr>
              <w:t>业</w:t>
            </w:r>
          </w:p>
          <w:p w14:paraId="55DF6CDC">
            <w:pPr>
              <w:pStyle w:val="37"/>
              <w:spacing w:before="25" w:line="222" w:lineRule="auto"/>
              <w:ind w:left="373" w:right="208" w:hanging="239"/>
              <w:jc w:val="both"/>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□其他</w:t>
            </w:r>
          </w:p>
        </w:tc>
        <w:tc>
          <w:tcPr>
            <w:tcW w:w="1122" w:type="dxa"/>
            <w:vAlign w:val="center"/>
          </w:tcPr>
          <w:p w14:paraId="72C299FB">
            <w:pPr>
              <w:pStyle w:val="37"/>
              <w:jc w:val="both"/>
              <w:rPr>
                <w:rFonts w:hint="eastAsia" w:ascii="仿宋" w:hAnsi="仿宋" w:eastAsia="仿宋" w:cs="仿宋"/>
                <w:color w:val="auto"/>
                <w:highlight w:val="none"/>
              </w:rPr>
            </w:pPr>
          </w:p>
        </w:tc>
        <w:tc>
          <w:tcPr>
            <w:tcW w:w="1390" w:type="dxa"/>
            <w:vAlign w:val="center"/>
          </w:tcPr>
          <w:p w14:paraId="0C8BB6BF">
            <w:pPr>
              <w:pStyle w:val="37"/>
              <w:jc w:val="both"/>
              <w:rPr>
                <w:rFonts w:hint="eastAsia" w:ascii="仿宋" w:hAnsi="仿宋" w:eastAsia="仿宋" w:cs="仿宋"/>
                <w:color w:val="auto"/>
                <w:highlight w:val="none"/>
              </w:rPr>
            </w:pPr>
          </w:p>
        </w:tc>
        <w:tc>
          <w:tcPr>
            <w:tcW w:w="1497" w:type="dxa"/>
            <w:vAlign w:val="center"/>
          </w:tcPr>
          <w:p w14:paraId="653A35CF">
            <w:pPr>
              <w:pStyle w:val="37"/>
              <w:jc w:val="both"/>
              <w:rPr>
                <w:rFonts w:hint="eastAsia" w:ascii="仿宋" w:hAnsi="仿宋" w:eastAsia="仿宋" w:cs="仿宋"/>
                <w:color w:val="auto"/>
                <w:highlight w:val="none"/>
              </w:rPr>
            </w:pPr>
          </w:p>
        </w:tc>
        <w:tc>
          <w:tcPr>
            <w:tcW w:w="1569" w:type="dxa"/>
            <w:vAlign w:val="center"/>
          </w:tcPr>
          <w:p w14:paraId="34B2E266">
            <w:pPr>
              <w:pStyle w:val="37"/>
              <w:jc w:val="both"/>
              <w:rPr>
                <w:rFonts w:hint="eastAsia" w:ascii="仿宋" w:hAnsi="仿宋" w:eastAsia="仿宋" w:cs="仿宋"/>
                <w:color w:val="auto"/>
                <w:highlight w:val="none"/>
              </w:rPr>
            </w:pPr>
          </w:p>
        </w:tc>
      </w:tr>
      <w:tr w14:paraId="608A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06" w:type="dxa"/>
            <w:vAlign w:val="center"/>
          </w:tcPr>
          <w:p w14:paraId="61FA861B">
            <w:pPr>
              <w:pStyle w:val="37"/>
              <w:spacing w:before="69" w:line="81" w:lineRule="exact"/>
              <w:jc w:val="center"/>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w:t>
            </w:r>
          </w:p>
        </w:tc>
        <w:tc>
          <w:tcPr>
            <w:tcW w:w="1286" w:type="dxa"/>
            <w:vAlign w:val="center"/>
          </w:tcPr>
          <w:p w14:paraId="296FD1A8">
            <w:pPr>
              <w:pStyle w:val="37"/>
              <w:jc w:val="both"/>
              <w:rPr>
                <w:rFonts w:hint="eastAsia" w:ascii="仿宋" w:hAnsi="仿宋" w:eastAsia="仿宋" w:cs="仿宋"/>
                <w:color w:val="auto"/>
                <w:highlight w:val="none"/>
              </w:rPr>
            </w:pPr>
          </w:p>
        </w:tc>
        <w:tc>
          <w:tcPr>
            <w:tcW w:w="1684" w:type="dxa"/>
            <w:vAlign w:val="center"/>
          </w:tcPr>
          <w:p w14:paraId="7B9C2B5B">
            <w:pPr>
              <w:pStyle w:val="37"/>
              <w:jc w:val="both"/>
              <w:rPr>
                <w:rFonts w:hint="eastAsia" w:ascii="仿宋" w:hAnsi="仿宋" w:eastAsia="仿宋" w:cs="仿宋"/>
                <w:color w:val="auto"/>
                <w:highlight w:val="none"/>
              </w:rPr>
            </w:pPr>
          </w:p>
        </w:tc>
        <w:tc>
          <w:tcPr>
            <w:tcW w:w="1122" w:type="dxa"/>
            <w:vAlign w:val="center"/>
          </w:tcPr>
          <w:p w14:paraId="094F9DFE">
            <w:pPr>
              <w:pStyle w:val="37"/>
              <w:jc w:val="both"/>
              <w:rPr>
                <w:rFonts w:hint="eastAsia" w:ascii="仿宋" w:hAnsi="仿宋" w:eastAsia="仿宋" w:cs="仿宋"/>
                <w:color w:val="auto"/>
                <w:highlight w:val="none"/>
              </w:rPr>
            </w:pPr>
          </w:p>
        </w:tc>
        <w:tc>
          <w:tcPr>
            <w:tcW w:w="1390" w:type="dxa"/>
            <w:vAlign w:val="center"/>
          </w:tcPr>
          <w:p w14:paraId="631F23A9">
            <w:pPr>
              <w:pStyle w:val="37"/>
              <w:jc w:val="both"/>
              <w:rPr>
                <w:rFonts w:hint="eastAsia" w:ascii="仿宋" w:hAnsi="仿宋" w:eastAsia="仿宋" w:cs="仿宋"/>
                <w:color w:val="auto"/>
                <w:highlight w:val="none"/>
              </w:rPr>
            </w:pPr>
          </w:p>
        </w:tc>
        <w:tc>
          <w:tcPr>
            <w:tcW w:w="1497" w:type="dxa"/>
            <w:vAlign w:val="center"/>
          </w:tcPr>
          <w:p w14:paraId="09ACD010">
            <w:pPr>
              <w:pStyle w:val="37"/>
              <w:jc w:val="both"/>
              <w:rPr>
                <w:rFonts w:hint="eastAsia" w:ascii="仿宋" w:hAnsi="仿宋" w:eastAsia="仿宋" w:cs="仿宋"/>
                <w:color w:val="auto"/>
                <w:highlight w:val="none"/>
              </w:rPr>
            </w:pPr>
          </w:p>
        </w:tc>
        <w:tc>
          <w:tcPr>
            <w:tcW w:w="1569" w:type="dxa"/>
            <w:vAlign w:val="center"/>
          </w:tcPr>
          <w:p w14:paraId="1FB6B0FE">
            <w:pPr>
              <w:pStyle w:val="37"/>
              <w:jc w:val="both"/>
              <w:rPr>
                <w:rFonts w:hint="eastAsia" w:ascii="仿宋" w:hAnsi="仿宋" w:eastAsia="仿宋" w:cs="仿宋"/>
                <w:color w:val="auto"/>
                <w:highlight w:val="none"/>
              </w:rPr>
            </w:pPr>
          </w:p>
        </w:tc>
      </w:tr>
      <w:tr w14:paraId="07DD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088" w:type="dxa"/>
            <w:gridSpan w:val="5"/>
            <w:vAlign w:val="center"/>
          </w:tcPr>
          <w:p w14:paraId="21F28CF2">
            <w:pPr>
              <w:spacing w:before="193" w:line="222" w:lineRule="auto"/>
              <w:ind w:left="5170"/>
              <w:jc w:val="both"/>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合计：</w:t>
            </w:r>
          </w:p>
        </w:tc>
        <w:tc>
          <w:tcPr>
            <w:tcW w:w="1497" w:type="dxa"/>
            <w:vAlign w:val="center"/>
          </w:tcPr>
          <w:p w14:paraId="3FAB4E54">
            <w:pPr>
              <w:pStyle w:val="37"/>
              <w:jc w:val="both"/>
              <w:rPr>
                <w:rFonts w:hint="eastAsia" w:ascii="仿宋" w:hAnsi="仿宋" w:eastAsia="仿宋" w:cs="仿宋"/>
                <w:color w:val="auto"/>
                <w:highlight w:val="none"/>
              </w:rPr>
            </w:pPr>
          </w:p>
        </w:tc>
        <w:tc>
          <w:tcPr>
            <w:tcW w:w="1569" w:type="dxa"/>
            <w:vAlign w:val="center"/>
          </w:tcPr>
          <w:p w14:paraId="0EEB1EA8">
            <w:pPr>
              <w:pStyle w:val="37"/>
              <w:jc w:val="both"/>
              <w:rPr>
                <w:rFonts w:hint="eastAsia" w:ascii="仿宋" w:hAnsi="仿宋" w:eastAsia="仿宋" w:cs="仿宋"/>
                <w:color w:val="auto"/>
                <w:highlight w:val="none"/>
              </w:rPr>
            </w:pPr>
          </w:p>
        </w:tc>
      </w:tr>
    </w:tbl>
    <w:p w14:paraId="11AD6A36">
      <w:pPr>
        <w:spacing w:line="272" w:lineRule="auto"/>
        <w:rPr>
          <w:rFonts w:hint="eastAsia" w:ascii="仿宋" w:hAnsi="仿宋" w:eastAsia="仿宋" w:cs="仿宋"/>
          <w:color w:val="auto"/>
          <w:sz w:val="21"/>
          <w:highlight w:val="none"/>
        </w:rPr>
      </w:pPr>
    </w:p>
    <w:p w14:paraId="2CA9BA95">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供应商单位盖章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69959775">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7E400766">
      <w:pPr>
        <w:pStyle w:val="5"/>
        <w:spacing w:before="1" w:line="224" w:lineRule="auto"/>
        <w:ind w:left="9"/>
        <w:rPr>
          <w:rFonts w:hint="eastAsia" w:ascii="仿宋" w:hAnsi="仿宋" w:eastAsia="仿宋" w:cs="仿宋"/>
          <w:color w:val="auto"/>
          <w:spacing w:val="-17"/>
          <w:sz w:val="24"/>
          <w:szCs w:val="24"/>
          <w:highlight w:val="none"/>
        </w:rPr>
      </w:pPr>
    </w:p>
    <w:p w14:paraId="220D5615">
      <w:pPr>
        <w:pStyle w:val="5"/>
        <w:spacing w:before="1" w:line="224"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注：</w:t>
      </w:r>
    </w:p>
    <w:p w14:paraId="32B16094">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1.拟分包情况说明仅需加盖供应商单位盖章。</w:t>
      </w:r>
    </w:p>
    <w:p w14:paraId="4C7EB64E">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考虑</w:t>
      </w:r>
      <w:r>
        <w:rPr>
          <w:rFonts w:hint="eastAsia" w:ascii="仿宋" w:hAnsi="仿宋" w:eastAsia="仿宋" w:cs="仿宋"/>
          <w:color w:val="auto"/>
          <w:spacing w:val="-4"/>
          <w:sz w:val="24"/>
          <w:szCs w:val="24"/>
          <w:highlight w:val="none"/>
        </w:rPr>
        <w:t>拟分包合同金额</w:t>
      </w:r>
      <w:r>
        <w:rPr>
          <w:rFonts w:hint="eastAsia" w:ascii="仿宋" w:hAnsi="仿宋" w:eastAsia="仿宋" w:cs="仿宋"/>
          <w:color w:val="auto"/>
          <w:sz w:val="24"/>
          <w:highlight w:val="none"/>
        </w:rPr>
        <w:t>的方便，</w:t>
      </w:r>
      <w:r>
        <w:rPr>
          <w:rFonts w:hint="eastAsia" w:ascii="仿宋" w:hAnsi="仿宋" w:eastAsia="仿宋" w:cs="仿宋"/>
          <w:b w:val="0"/>
          <w:bCs w:val="0"/>
          <w:color w:val="auto"/>
          <w:sz w:val="24"/>
          <w:highlight w:val="none"/>
          <w:lang w:val="en-US" w:eastAsia="zh-CN"/>
        </w:rPr>
        <w:t>若采购文件无特殊规定，</w:t>
      </w:r>
      <w:r>
        <w:rPr>
          <w:rFonts w:hint="eastAsia" w:ascii="仿宋" w:hAnsi="仿宋" w:eastAsia="仿宋" w:cs="仿宋"/>
          <w:color w:val="auto"/>
          <w:sz w:val="24"/>
          <w:highlight w:val="none"/>
        </w:rPr>
        <w:t>供应商在填写</w:t>
      </w:r>
      <w:r>
        <w:rPr>
          <w:rFonts w:hint="eastAsia" w:ascii="仿宋" w:hAnsi="仿宋" w:eastAsia="仿宋" w:cs="仿宋"/>
          <w:color w:val="auto"/>
          <w:sz w:val="24"/>
          <w:highlight w:val="none"/>
          <w:lang w:eastAsia="zh-CN"/>
        </w:rPr>
        <w:t>最后报价</w:t>
      </w:r>
      <w:r>
        <w:rPr>
          <w:rFonts w:hint="eastAsia" w:ascii="仿宋" w:hAnsi="仿宋" w:eastAsia="仿宋" w:cs="仿宋"/>
          <w:color w:val="auto"/>
          <w:sz w:val="24"/>
          <w:highlight w:val="none"/>
        </w:rPr>
        <w:t>后，（第一次报价-</w:t>
      </w:r>
      <w:r>
        <w:rPr>
          <w:rFonts w:hint="eastAsia" w:ascii="仿宋" w:hAnsi="仿宋" w:eastAsia="仿宋" w:cs="仿宋"/>
          <w:color w:val="auto"/>
          <w:sz w:val="24"/>
          <w:highlight w:val="none"/>
          <w:lang w:eastAsia="zh-CN"/>
        </w:rPr>
        <w:t>最后报价</w:t>
      </w:r>
      <w:r>
        <w:rPr>
          <w:rFonts w:hint="eastAsia" w:ascii="仿宋" w:hAnsi="仿宋" w:eastAsia="仿宋" w:cs="仿宋"/>
          <w:color w:val="auto"/>
          <w:sz w:val="24"/>
          <w:highlight w:val="none"/>
        </w:rPr>
        <w:t>）除以第一次报价后得出的优惠率视同为</w:t>
      </w:r>
      <w:r>
        <w:rPr>
          <w:rFonts w:hint="eastAsia" w:ascii="仿宋" w:hAnsi="仿宋" w:eastAsia="仿宋" w:cs="仿宋"/>
          <w:color w:val="auto"/>
          <w:sz w:val="24"/>
          <w:highlight w:val="none"/>
          <w:lang w:val="en-US" w:eastAsia="zh-CN"/>
        </w:rPr>
        <w:t>上述</w:t>
      </w:r>
      <w:r>
        <w:rPr>
          <w:rFonts w:hint="eastAsia" w:ascii="仿宋" w:hAnsi="仿宋" w:eastAsia="仿宋" w:cs="仿宋"/>
          <w:color w:val="auto"/>
          <w:sz w:val="24"/>
          <w:highlight w:val="none"/>
        </w:rPr>
        <w:t>表中</w:t>
      </w:r>
      <w:r>
        <w:rPr>
          <w:rFonts w:hint="eastAsia" w:ascii="仿宋" w:hAnsi="仿宋" w:eastAsia="仿宋" w:cs="仿宋"/>
          <w:color w:val="auto"/>
          <w:spacing w:val="-4"/>
          <w:sz w:val="24"/>
          <w:szCs w:val="24"/>
          <w:highlight w:val="none"/>
        </w:rPr>
        <w:t>拟分包合同金额</w:t>
      </w:r>
      <w:r>
        <w:rPr>
          <w:rFonts w:hint="eastAsia" w:ascii="仿宋" w:hAnsi="仿宋" w:eastAsia="仿宋" w:cs="仿宋"/>
          <w:color w:val="auto"/>
          <w:sz w:val="24"/>
          <w:highlight w:val="none"/>
        </w:rPr>
        <w:t>的优惠浮动值（特定分项优惠除外），而不考虑措施项目清单和规费税金清单的金额改变</w:t>
      </w:r>
      <w:r>
        <w:rPr>
          <w:rFonts w:hint="eastAsia" w:ascii="仿宋" w:hAnsi="仿宋" w:eastAsia="仿宋" w:cs="仿宋"/>
          <w:bCs/>
          <w:color w:val="auto"/>
          <w:sz w:val="24"/>
          <w:highlight w:val="none"/>
        </w:rPr>
        <w:t>。</w:t>
      </w:r>
    </w:p>
    <w:p w14:paraId="5FB4149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如</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文件载明本项目分包承担主体应具备的相应资质条件，则</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须在本表中列明分包承担主体的资质等级，并后附</w:t>
      </w:r>
      <w:r>
        <w:rPr>
          <w:rFonts w:hint="eastAsia" w:ascii="仿宋" w:hAnsi="仿宋" w:eastAsia="仿宋" w:cs="仿宋"/>
          <w:color w:val="auto"/>
          <w:sz w:val="24"/>
          <w:highlight w:val="none"/>
          <w:lang w:val="en-US" w:eastAsia="zh-CN"/>
        </w:rPr>
        <w:t>材料扫描件或复印件</w:t>
      </w:r>
      <w:r>
        <w:rPr>
          <w:rFonts w:hint="eastAsia" w:ascii="仿宋" w:hAnsi="仿宋" w:eastAsia="仿宋" w:cs="仿宋"/>
          <w:color w:val="auto"/>
          <w:sz w:val="24"/>
          <w:highlight w:val="none"/>
        </w:rPr>
        <w:t>，否则</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无效</w:t>
      </w:r>
      <w:r>
        <w:rPr>
          <w:rFonts w:hint="eastAsia" w:ascii="仿宋" w:hAnsi="仿宋" w:eastAsia="仿宋" w:cs="仿宋"/>
          <w:color w:val="auto"/>
          <w:sz w:val="24"/>
          <w:highlight w:val="none"/>
        </w:rPr>
        <w:t>。</w:t>
      </w:r>
    </w:p>
    <w:p w14:paraId="783343D7">
      <w:pPr>
        <w:spacing w:line="360" w:lineRule="auto"/>
        <w:ind w:firstLine="435"/>
        <w:rPr>
          <w:rFonts w:hint="eastAsia" w:ascii="仿宋" w:hAnsi="仿宋" w:eastAsia="仿宋" w:cs="仿宋"/>
          <w:color w:val="auto"/>
          <w:sz w:val="24"/>
          <w:highlight w:val="none"/>
        </w:rPr>
      </w:pPr>
    </w:p>
    <w:p w14:paraId="782D4841">
      <w:pPr>
        <w:spacing w:line="360" w:lineRule="auto"/>
        <w:ind w:firstLine="435"/>
        <w:rPr>
          <w:rFonts w:hint="eastAsia" w:ascii="仿宋" w:hAnsi="仿宋" w:eastAsia="仿宋" w:cs="仿宋"/>
          <w:color w:val="auto"/>
          <w:sz w:val="24"/>
          <w:highlight w:val="none"/>
        </w:rPr>
        <w:sectPr>
          <w:headerReference r:id="rId4" w:type="default"/>
          <w:footerReference r:id="rId5" w:type="default"/>
          <w:pgSz w:w="11907" w:h="16840"/>
          <w:pgMar w:top="1134" w:right="1134" w:bottom="1134" w:left="1134" w:header="510" w:footer="886" w:gutter="0"/>
          <w:pgNumType w:fmt="decimal"/>
          <w:cols w:space="720" w:num="1"/>
        </w:sectPr>
      </w:pPr>
    </w:p>
    <w:p w14:paraId="14405F7E">
      <w:pPr>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en-US" w:eastAsia="zh-CN"/>
        </w:rPr>
        <w:t>（二）分包意向协议</w:t>
      </w:r>
    </w:p>
    <w:p w14:paraId="0C5CD83B">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A960E6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接受分包企业</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5C71A3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接受分包企业</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608DCE0">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p>
    <w:p w14:paraId="6F77D2A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依据《</w:t>
      </w:r>
      <w:r>
        <w:rPr>
          <w:rFonts w:hint="eastAsia" w:ascii="仿宋" w:hAnsi="仿宋" w:eastAsia="仿宋" w:cs="仿宋"/>
          <w:color w:val="auto"/>
          <w:sz w:val="24"/>
          <w:highlight w:val="none"/>
        </w:rPr>
        <w:t>政府采购促进中小企业发展管理办法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（财库〔2020〕46号）</w:t>
      </w:r>
      <w:r>
        <w:rPr>
          <w:rFonts w:hint="eastAsia" w:ascii="仿宋" w:hAnsi="仿宋" w:eastAsia="仿宋" w:cs="仿宋"/>
          <w:color w:val="auto"/>
          <w:sz w:val="24"/>
          <w:highlight w:val="none"/>
          <w:lang w:val="en-US" w:eastAsia="zh-CN"/>
        </w:rPr>
        <w:t>第八条规定，</w:t>
      </w:r>
      <w:r>
        <w:rPr>
          <w:rFonts w:hint="eastAsia" w:ascii="仿宋" w:hAnsi="仿宋" w:eastAsia="仿宋" w:cs="仿宋"/>
          <w:color w:val="auto"/>
          <w:sz w:val="24"/>
          <w:highlight w:val="none"/>
        </w:rPr>
        <w:t>现就</w:t>
      </w:r>
      <w:r>
        <w:rPr>
          <w:rFonts w:hint="eastAsia" w:ascii="仿宋" w:hAnsi="仿宋" w:eastAsia="仿宋" w:cs="仿宋"/>
          <w:color w:val="auto"/>
          <w:sz w:val="24"/>
          <w:highlight w:val="none"/>
          <w:lang w:val="en-US" w:eastAsia="zh-CN"/>
        </w:rPr>
        <w:t>分包意向</w:t>
      </w:r>
      <w:r>
        <w:rPr>
          <w:rFonts w:hint="eastAsia" w:ascii="仿宋" w:hAnsi="仿宋" w:eastAsia="仿宋" w:cs="仿宋"/>
          <w:color w:val="auto"/>
          <w:sz w:val="24"/>
          <w:highlight w:val="none"/>
        </w:rPr>
        <w:t>事宜订立如下协议：</w:t>
      </w:r>
    </w:p>
    <w:p w14:paraId="2CB85CE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1.本项目供应商</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lang w:val="en-US" w:eastAsia="zh-CN"/>
        </w:rPr>
        <w:t>本项目总承包单位</w:t>
      </w:r>
      <w:r>
        <w:rPr>
          <w:rFonts w:hint="eastAsia" w:ascii="仿宋" w:hAnsi="仿宋" w:eastAsia="仿宋" w:cs="仿宋"/>
          <w:color w:val="auto"/>
          <w:sz w:val="24"/>
          <w:highlight w:val="none"/>
        </w:rPr>
        <w:t>。</w:t>
      </w:r>
    </w:p>
    <w:p w14:paraId="48CB888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2.在本项目</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阶段，</w:t>
      </w:r>
      <w:r>
        <w:rPr>
          <w:rFonts w:hint="eastAsia" w:ascii="仿宋" w:hAnsi="仿宋" w:eastAsia="仿宋" w:cs="仿宋"/>
          <w:color w:val="auto"/>
          <w:sz w:val="24"/>
          <w:highlight w:val="none"/>
          <w:lang w:val="en-US" w:eastAsia="zh-CN"/>
        </w:rPr>
        <w:t>总承包单位</w:t>
      </w:r>
      <w:r>
        <w:rPr>
          <w:rFonts w:hint="eastAsia" w:ascii="仿宋" w:hAnsi="仿宋" w:eastAsia="仿宋" w:cs="仿宋"/>
          <w:color w:val="auto"/>
          <w:sz w:val="24"/>
          <w:highlight w:val="none"/>
        </w:rPr>
        <w:t>负责</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项目的一切组织、协调工作，并授权代理人参加项目的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，代理人在项目采购过程中所签署的一切文件和处理与本次</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有关的一切事务，</w:t>
      </w:r>
      <w:r>
        <w:rPr>
          <w:rFonts w:hint="eastAsia" w:ascii="仿宋" w:hAnsi="仿宋" w:eastAsia="仿宋" w:cs="仿宋"/>
          <w:color w:val="auto"/>
          <w:sz w:val="24"/>
          <w:highlight w:val="none"/>
          <w:lang w:val="en-US" w:eastAsia="zh-CN"/>
        </w:rPr>
        <w:t>总承包单位与采购人签订本项目采购合同</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分别</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lang w:val="en-US" w:eastAsia="zh-CN"/>
        </w:rPr>
        <w:t>各分包企业</w:t>
      </w:r>
      <w:r>
        <w:rPr>
          <w:rFonts w:hint="eastAsia" w:ascii="仿宋" w:hAnsi="仿宋" w:eastAsia="仿宋" w:cs="仿宋"/>
          <w:color w:val="auto"/>
          <w:sz w:val="24"/>
          <w:highlight w:val="none"/>
        </w:rPr>
        <w:t>签订</w:t>
      </w:r>
      <w:r>
        <w:rPr>
          <w:rFonts w:hint="eastAsia" w:ascii="仿宋" w:hAnsi="仿宋" w:eastAsia="仿宋" w:cs="仿宋"/>
          <w:color w:val="auto"/>
          <w:sz w:val="24"/>
          <w:highlight w:val="none"/>
          <w:lang w:val="en-US" w:eastAsia="zh-CN"/>
        </w:rPr>
        <w:t>分包</w:t>
      </w:r>
      <w:r>
        <w:rPr>
          <w:rFonts w:hint="eastAsia" w:ascii="仿宋" w:hAnsi="仿宋" w:eastAsia="仿宋" w:cs="仿宋"/>
          <w:color w:val="auto"/>
          <w:sz w:val="24"/>
          <w:highlight w:val="none"/>
        </w:rPr>
        <w:t>合同，就本项目对采购人承担连带责任。</w:t>
      </w:r>
    </w:p>
    <w:p w14:paraId="4C987FF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各</w:t>
      </w:r>
      <w:r>
        <w:rPr>
          <w:rFonts w:hint="eastAsia" w:ascii="仿宋" w:hAnsi="仿宋" w:eastAsia="仿宋" w:cs="仿宋"/>
          <w:color w:val="auto"/>
          <w:sz w:val="24"/>
          <w:highlight w:val="none"/>
        </w:rPr>
        <w:t>单位内部的职责分工及各方负责内容的合同金额占总合同金额的百分比如下：</w:t>
      </w:r>
    </w:p>
    <w:p w14:paraId="4DF0DD2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工作，负责内容的合同金额</w:t>
      </w:r>
      <w:r>
        <w:rPr>
          <w:rFonts w:hint="eastAsia" w:ascii="仿宋" w:hAnsi="仿宋" w:eastAsia="仿宋" w:cs="仿宋"/>
          <w:color w:val="auto"/>
          <w:sz w:val="24"/>
          <w:highlight w:val="none"/>
          <w:lang w:eastAsia="zh-CN"/>
        </w:rPr>
        <w:t>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rPr>
        <w:t>占总合同金额的百分比：</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32DA553">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接受</w:t>
      </w:r>
      <w:r>
        <w:rPr>
          <w:rFonts w:hint="eastAsia" w:ascii="仿宋" w:hAnsi="仿宋" w:eastAsia="仿宋" w:cs="仿宋"/>
          <w:color w:val="auto"/>
          <w:sz w:val="24"/>
          <w:highlight w:val="none"/>
          <w:lang w:val="en-US" w:eastAsia="zh-CN"/>
        </w:rPr>
        <w:t>分包企业</w:t>
      </w:r>
      <w:r>
        <w:rPr>
          <w:rFonts w:hint="eastAsia" w:ascii="仿宋" w:hAnsi="仿宋" w:eastAsia="仿宋" w:cs="仿宋"/>
          <w:color w:val="auto"/>
          <w:sz w:val="24"/>
          <w:highlight w:val="none"/>
        </w:rPr>
        <w:t>一名称：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负责内容的合同金额</w:t>
      </w:r>
      <w:r>
        <w:rPr>
          <w:rFonts w:hint="eastAsia" w:ascii="仿宋" w:hAnsi="仿宋" w:eastAsia="仿宋" w:cs="仿宋"/>
          <w:color w:val="auto"/>
          <w:sz w:val="24"/>
          <w:highlight w:val="none"/>
          <w:lang w:eastAsia="zh-CN"/>
        </w:rPr>
        <w:t>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rPr>
        <w:t>占总合同金额的百分比：</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FAE1FB7">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接受</w:t>
      </w:r>
      <w:r>
        <w:rPr>
          <w:rFonts w:hint="eastAsia" w:ascii="仿宋" w:hAnsi="仿宋" w:eastAsia="仿宋" w:cs="仿宋"/>
          <w:color w:val="auto"/>
          <w:sz w:val="24"/>
          <w:highlight w:val="none"/>
          <w:lang w:val="en-US" w:eastAsia="zh-CN"/>
        </w:rPr>
        <w:t>分包企业</w:t>
      </w:r>
      <w:r>
        <w:rPr>
          <w:rFonts w:hint="eastAsia" w:ascii="仿宋" w:hAnsi="仿宋" w:eastAsia="仿宋" w:cs="仿宋"/>
          <w:color w:val="auto"/>
          <w:sz w:val="24"/>
          <w:highlight w:val="none"/>
        </w:rPr>
        <w:t>二名称：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工作，负责内容的合同金额</w:t>
      </w:r>
      <w:r>
        <w:rPr>
          <w:rFonts w:hint="eastAsia" w:ascii="仿宋" w:hAnsi="仿宋" w:eastAsia="仿宋" w:cs="仿宋"/>
          <w:color w:val="auto"/>
          <w:sz w:val="24"/>
          <w:highlight w:val="none"/>
          <w:lang w:eastAsia="zh-CN"/>
        </w:rPr>
        <w:t>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rPr>
        <w:t>占总合同金额的百分比：</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C25E4F9">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w:t>
      </w:r>
    </w:p>
    <w:p w14:paraId="0F99271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后，本</w:t>
      </w:r>
      <w:r>
        <w:rPr>
          <w:rFonts w:hint="eastAsia" w:ascii="仿宋" w:hAnsi="仿宋" w:eastAsia="仿宋" w:cs="仿宋"/>
          <w:color w:val="auto"/>
          <w:sz w:val="24"/>
          <w:highlight w:val="none"/>
          <w:lang w:val="en-US" w:eastAsia="zh-CN"/>
        </w:rPr>
        <w:t>分包意向</w:t>
      </w:r>
      <w:r>
        <w:rPr>
          <w:rFonts w:hint="eastAsia" w:ascii="仿宋" w:hAnsi="仿宋" w:eastAsia="仿宋" w:cs="仿宋"/>
          <w:color w:val="auto"/>
          <w:sz w:val="24"/>
          <w:highlight w:val="none"/>
        </w:rPr>
        <w:t>协议是合同的附件，对</w:t>
      </w:r>
      <w:r>
        <w:rPr>
          <w:rFonts w:hint="eastAsia" w:ascii="仿宋" w:hAnsi="仿宋" w:eastAsia="仿宋" w:cs="仿宋"/>
          <w:color w:val="auto"/>
          <w:sz w:val="24"/>
          <w:highlight w:val="none"/>
          <w:lang w:val="en-US" w:eastAsia="zh-CN"/>
        </w:rPr>
        <w:t>分包</w:t>
      </w:r>
      <w:r>
        <w:rPr>
          <w:rFonts w:hint="eastAsia" w:ascii="仿宋" w:hAnsi="仿宋" w:eastAsia="仿宋" w:cs="仿宋"/>
          <w:color w:val="auto"/>
          <w:sz w:val="24"/>
          <w:highlight w:val="none"/>
        </w:rPr>
        <w:t>各成员单位有合同约束力。</w:t>
      </w:r>
    </w:p>
    <w:p w14:paraId="30EC2855">
      <w:pPr>
        <w:spacing w:line="360" w:lineRule="auto"/>
        <w:ind w:firstLine="4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本协议书自签署之日起生效，未中标或者合同履行完毕后自动失效。</w:t>
      </w:r>
    </w:p>
    <w:p w14:paraId="6456A7A4">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6.接受分包的中小企业与总承包单位不存在直接控股、管理关系。</w:t>
      </w:r>
    </w:p>
    <w:p w14:paraId="719C2DC1">
      <w:pPr>
        <w:pStyle w:val="5"/>
        <w:rPr>
          <w:rFonts w:hint="eastAsia" w:ascii="仿宋" w:hAnsi="仿宋" w:eastAsia="仿宋" w:cs="仿宋"/>
          <w:color w:val="auto"/>
          <w:highlight w:val="none"/>
          <w:lang w:val="en-US" w:eastAsia="zh-CN"/>
        </w:rPr>
      </w:pPr>
    </w:p>
    <w:p w14:paraId="47F7B62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14:paraId="7728239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54EC6084">
      <w:pPr>
        <w:spacing w:line="360" w:lineRule="auto"/>
        <w:ind w:firstLine="435"/>
        <w:rPr>
          <w:rFonts w:hint="eastAsia" w:ascii="仿宋" w:hAnsi="仿宋" w:eastAsia="仿宋" w:cs="仿宋"/>
          <w:color w:val="auto"/>
          <w:sz w:val="24"/>
          <w:highlight w:val="none"/>
        </w:rPr>
      </w:pPr>
    </w:p>
    <w:p w14:paraId="6852531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接受分包企业</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14:paraId="216101B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63C9A770">
      <w:pPr>
        <w:spacing w:line="360" w:lineRule="auto"/>
        <w:ind w:firstLine="435"/>
        <w:rPr>
          <w:rFonts w:hint="eastAsia" w:ascii="仿宋" w:hAnsi="仿宋" w:eastAsia="仿宋" w:cs="仿宋"/>
          <w:color w:val="auto"/>
          <w:sz w:val="24"/>
          <w:highlight w:val="none"/>
        </w:rPr>
      </w:pPr>
    </w:p>
    <w:p w14:paraId="18E69BC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接受分包企业</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14:paraId="2B9ED3D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14:paraId="4A5FA76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66A847E">
      <w:pPr>
        <w:pStyle w:val="14"/>
        <w:spacing w:line="360" w:lineRule="auto"/>
        <w:rPr>
          <w:rFonts w:hint="eastAsia" w:ascii="仿宋" w:hAnsi="仿宋" w:eastAsia="仿宋" w:cs="仿宋"/>
          <w:color w:val="auto"/>
          <w:sz w:val="24"/>
          <w:highlight w:val="none"/>
        </w:rPr>
      </w:pPr>
    </w:p>
    <w:p w14:paraId="03900A08">
      <w:pPr>
        <w:spacing w:line="360" w:lineRule="auto"/>
        <w:ind w:right="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4AE9D1F">
      <w:pPr>
        <w:spacing w:line="360" w:lineRule="auto"/>
        <w:ind w:right="480" w:firstLine="4680" w:firstLineChars="1950"/>
        <w:rPr>
          <w:rFonts w:hint="eastAsia" w:ascii="仿宋" w:hAnsi="仿宋" w:eastAsia="仿宋" w:cs="仿宋"/>
          <w:color w:val="auto"/>
          <w:sz w:val="24"/>
          <w:highlight w:val="none"/>
        </w:rPr>
      </w:pPr>
    </w:p>
    <w:p w14:paraId="1D266840">
      <w:pPr>
        <w:spacing w:line="360" w:lineRule="auto"/>
        <w:ind w:right="480" w:firstLine="5460" w:firstLineChars="1950"/>
        <w:rPr>
          <w:rFonts w:hint="eastAsia" w:ascii="仿宋" w:hAnsi="仿宋" w:eastAsia="仿宋" w:cs="仿宋"/>
          <w:color w:val="auto"/>
          <w:sz w:val="28"/>
          <w:highlight w:val="none"/>
        </w:rPr>
      </w:pPr>
    </w:p>
    <w:p w14:paraId="60FE67AD">
      <w:pPr>
        <w:adjustRightInd w:val="0"/>
        <w:snapToGrid w:val="0"/>
        <w:spacing w:line="360" w:lineRule="auto"/>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注：</w:t>
      </w:r>
    </w:p>
    <w:p w14:paraId="75E70ADB">
      <w:pPr>
        <w:spacing w:line="360" w:lineRule="auto"/>
        <w:ind w:firstLine="435"/>
        <w:rPr>
          <w:rFonts w:hint="eastAsia" w:ascii="仿宋" w:hAnsi="仿宋" w:eastAsia="仿宋" w:cs="仿宋"/>
          <w:b w:val="0"/>
          <w:bCs w:val="0"/>
          <w:color w:val="auto"/>
          <w:sz w:val="24"/>
          <w:szCs w:val="28"/>
          <w:highlight w:val="none"/>
          <w:lang w:eastAsia="zh-CN"/>
        </w:rPr>
      </w:pPr>
      <w:r>
        <w:rPr>
          <w:rFonts w:hint="eastAsia" w:ascii="仿宋" w:hAnsi="仿宋" w:eastAsia="仿宋" w:cs="仿宋"/>
          <w:b w:val="0"/>
          <w:bCs w:val="0"/>
          <w:color w:val="auto"/>
          <w:sz w:val="24"/>
          <w:szCs w:val="28"/>
          <w:highlight w:val="none"/>
          <w:lang w:val="en-US" w:eastAsia="zh-CN"/>
        </w:rPr>
        <w:t>1.</w:t>
      </w:r>
      <w:r>
        <w:rPr>
          <w:rFonts w:hint="eastAsia" w:ascii="仿宋" w:hAnsi="仿宋" w:eastAsia="仿宋" w:cs="仿宋"/>
          <w:b w:val="0"/>
          <w:bCs w:val="0"/>
          <w:color w:val="auto"/>
          <w:sz w:val="24"/>
          <w:szCs w:val="28"/>
          <w:highlight w:val="none"/>
        </w:rPr>
        <w:t>分包意向协议中须约定向中小企业分包的项目内容及分包内容占合同金额比例</w:t>
      </w:r>
      <w:r>
        <w:rPr>
          <w:rFonts w:hint="eastAsia" w:ascii="仿宋" w:hAnsi="仿宋" w:eastAsia="仿宋" w:cs="仿宋"/>
          <w:b w:val="0"/>
          <w:bCs w:val="0"/>
          <w:color w:val="auto"/>
          <w:sz w:val="24"/>
          <w:szCs w:val="28"/>
          <w:highlight w:val="none"/>
          <w:lang w:eastAsia="zh-CN"/>
        </w:rPr>
        <w:t>。</w:t>
      </w:r>
    </w:p>
    <w:p w14:paraId="5DF174AC">
      <w:pPr>
        <w:spacing w:line="360" w:lineRule="auto"/>
        <w:ind w:firstLine="435"/>
        <w:rPr>
          <w:rFonts w:hint="eastAsia" w:ascii="仿宋" w:hAnsi="仿宋" w:eastAsia="仿宋" w:cs="仿宋"/>
          <w:b/>
          <w:bCs/>
          <w:color w:val="auto"/>
          <w:sz w:val="24"/>
          <w:szCs w:val="28"/>
          <w:highlight w:val="none"/>
          <w:lang w:val="en-US"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考虑</w:t>
      </w:r>
      <w:r>
        <w:rPr>
          <w:rFonts w:hint="eastAsia" w:ascii="仿宋" w:hAnsi="仿宋" w:eastAsia="仿宋" w:cs="仿宋"/>
          <w:b w:val="0"/>
          <w:bCs w:val="0"/>
          <w:color w:val="auto"/>
          <w:sz w:val="24"/>
          <w:highlight w:val="none"/>
          <w:lang w:val="en-US" w:eastAsia="zh-CN"/>
        </w:rPr>
        <w:t>上述</w:t>
      </w:r>
      <w:r>
        <w:rPr>
          <w:rFonts w:hint="eastAsia" w:ascii="仿宋" w:hAnsi="仿宋" w:eastAsia="仿宋" w:cs="仿宋"/>
          <w:b w:val="0"/>
          <w:bCs w:val="0"/>
          <w:color w:val="auto"/>
          <w:sz w:val="24"/>
          <w:highlight w:val="none"/>
        </w:rPr>
        <w:t>负责内容合同金额的方便，</w:t>
      </w:r>
      <w:r>
        <w:rPr>
          <w:rFonts w:hint="eastAsia" w:ascii="仿宋" w:hAnsi="仿宋" w:eastAsia="仿宋" w:cs="仿宋"/>
          <w:b w:val="0"/>
          <w:bCs w:val="0"/>
          <w:color w:val="auto"/>
          <w:sz w:val="24"/>
          <w:highlight w:val="none"/>
          <w:lang w:val="en-US" w:eastAsia="zh-CN"/>
        </w:rPr>
        <w:t>若采购文件无特殊规定，</w:t>
      </w:r>
      <w:r>
        <w:rPr>
          <w:rFonts w:hint="eastAsia" w:ascii="仿宋" w:hAnsi="仿宋" w:eastAsia="仿宋" w:cs="仿宋"/>
          <w:b w:val="0"/>
          <w:bCs w:val="0"/>
          <w:color w:val="auto"/>
          <w:sz w:val="24"/>
          <w:highlight w:val="none"/>
        </w:rPr>
        <w:t>供应商在填写</w:t>
      </w:r>
      <w:r>
        <w:rPr>
          <w:rFonts w:hint="eastAsia" w:ascii="仿宋" w:hAnsi="仿宋" w:eastAsia="仿宋" w:cs="仿宋"/>
          <w:b w:val="0"/>
          <w:bCs w:val="0"/>
          <w:color w:val="auto"/>
          <w:sz w:val="24"/>
          <w:highlight w:val="none"/>
          <w:lang w:eastAsia="zh-CN"/>
        </w:rPr>
        <w:t>最后报价</w:t>
      </w:r>
      <w:r>
        <w:rPr>
          <w:rFonts w:hint="eastAsia" w:ascii="仿宋" w:hAnsi="仿宋" w:eastAsia="仿宋" w:cs="仿宋"/>
          <w:b w:val="0"/>
          <w:bCs w:val="0"/>
          <w:color w:val="auto"/>
          <w:sz w:val="24"/>
          <w:highlight w:val="none"/>
        </w:rPr>
        <w:t>后，</w:t>
      </w:r>
      <w:r>
        <w:rPr>
          <w:rFonts w:hint="eastAsia" w:ascii="仿宋" w:hAnsi="仿宋" w:eastAsia="仿宋" w:cs="仿宋"/>
          <w:b w:val="0"/>
          <w:bCs w:val="0"/>
          <w:color w:val="auto"/>
          <w:sz w:val="24"/>
          <w:highlight w:val="none"/>
          <w:lang w:val="en-US" w:eastAsia="zh-CN"/>
        </w:rPr>
        <w:t>根据</w:t>
      </w:r>
      <w:r>
        <w:rPr>
          <w:rFonts w:hint="eastAsia" w:ascii="仿宋" w:hAnsi="仿宋" w:eastAsia="仿宋" w:cs="仿宋"/>
          <w:b w:val="0"/>
          <w:bCs w:val="0"/>
          <w:color w:val="auto"/>
          <w:sz w:val="24"/>
          <w:highlight w:val="none"/>
        </w:rPr>
        <w:t>（第一次报价-</w:t>
      </w:r>
      <w:r>
        <w:rPr>
          <w:rFonts w:hint="eastAsia" w:ascii="仿宋" w:hAnsi="仿宋" w:eastAsia="仿宋" w:cs="仿宋"/>
          <w:b w:val="0"/>
          <w:bCs w:val="0"/>
          <w:color w:val="auto"/>
          <w:sz w:val="24"/>
          <w:highlight w:val="none"/>
          <w:lang w:eastAsia="zh-CN"/>
        </w:rPr>
        <w:t>最后报价</w:t>
      </w:r>
      <w:r>
        <w:rPr>
          <w:rFonts w:hint="eastAsia" w:ascii="仿宋" w:hAnsi="仿宋" w:eastAsia="仿宋" w:cs="仿宋"/>
          <w:b w:val="0"/>
          <w:bCs w:val="0"/>
          <w:color w:val="auto"/>
          <w:sz w:val="24"/>
          <w:highlight w:val="none"/>
        </w:rPr>
        <w:t>）除以第一次报价后得出的优惠率视同为</w:t>
      </w:r>
      <w:r>
        <w:rPr>
          <w:rFonts w:hint="eastAsia" w:ascii="仿宋" w:hAnsi="仿宋" w:eastAsia="仿宋" w:cs="仿宋"/>
          <w:b w:val="0"/>
          <w:bCs w:val="0"/>
          <w:color w:val="auto"/>
          <w:sz w:val="24"/>
          <w:highlight w:val="none"/>
          <w:lang w:val="en-US" w:eastAsia="zh-CN"/>
        </w:rPr>
        <w:t>上述</w:t>
      </w:r>
      <w:r>
        <w:rPr>
          <w:rFonts w:hint="eastAsia" w:ascii="仿宋" w:hAnsi="仿宋" w:eastAsia="仿宋" w:cs="仿宋"/>
          <w:b w:val="0"/>
          <w:bCs w:val="0"/>
          <w:color w:val="auto"/>
          <w:sz w:val="24"/>
          <w:highlight w:val="none"/>
        </w:rPr>
        <w:t>负责内容合同金额的优惠浮动值（特定分项优惠除外），而不考虑措施项目清单和规费税金清单的金额改变。</w:t>
      </w:r>
    </w:p>
    <w:p w14:paraId="6DA21855">
      <w:pPr>
        <w:bidi w:val="0"/>
        <w:jc w:val="center"/>
        <w:rPr>
          <w:rFonts w:hint="eastAsia" w:ascii="仿宋" w:hAnsi="仿宋" w:eastAsia="仿宋" w:cs="仿宋"/>
          <w:color w:val="auto"/>
          <w:szCs w:val="24"/>
          <w:highlight w:val="none"/>
          <w:lang w:val="en-US" w:eastAsia="zh-CN"/>
        </w:rPr>
      </w:pPr>
      <w:r>
        <w:rPr>
          <w:rFonts w:hint="eastAsia" w:ascii="仿宋" w:hAnsi="仿宋" w:eastAsia="仿宋" w:cs="仿宋"/>
          <w:b/>
          <w:color w:val="auto"/>
          <w:highlight w:val="none"/>
        </w:rPr>
        <w:br w:type="page"/>
      </w:r>
      <w:bookmarkStart w:id="241" w:name="_Toc15154"/>
      <w:r>
        <w:rPr>
          <w:rFonts w:hint="eastAsia" w:ascii="仿宋" w:hAnsi="仿宋" w:eastAsia="仿宋" w:cs="仿宋"/>
          <w:b/>
          <w:bCs/>
          <w:color w:val="auto"/>
          <w:sz w:val="24"/>
          <w:szCs w:val="22"/>
          <w:highlight w:val="none"/>
          <w:lang w:val="en-US" w:eastAsia="zh-CN"/>
        </w:rPr>
        <w:t>十一</w:t>
      </w:r>
      <w:r>
        <w:rPr>
          <w:rFonts w:hint="eastAsia" w:ascii="仿宋" w:hAnsi="仿宋" w:eastAsia="仿宋" w:cs="仿宋"/>
          <w:b/>
          <w:bCs/>
          <w:color w:val="auto"/>
          <w:sz w:val="24"/>
          <w:szCs w:val="22"/>
          <w:highlight w:val="none"/>
        </w:rPr>
        <w:t>、其他资格</w:t>
      </w:r>
      <w:bookmarkEnd w:id="241"/>
      <w:r>
        <w:rPr>
          <w:rFonts w:hint="eastAsia" w:ascii="仿宋" w:hAnsi="仿宋" w:eastAsia="仿宋" w:cs="仿宋"/>
          <w:b/>
          <w:bCs/>
          <w:color w:val="auto"/>
          <w:sz w:val="24"/>
          <w:szCs w:val="22"/>
          <w:highlight w:val="none"/>
          <w:lang w:val="en-US" w:eastAsia="zh-CN"/>
        </w:rPr>
        <w:t>证明材料</w:t>
      </w:r>
    </w:p>
    <w:p w14:paraId="5974A0D0">
      <w:pPr>
        <w:pStyle w:val="3"/>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仿宋" w:hAnsi="仿宋" w:eastAsia="仿宋" w:cs="仿宋"/>
          <w:color w:val="auto"/>
          <w:sz w:val="24"/>
          <w:szCs w:val="24"/>
          <w:highlight w:val="none"/>
        </w:rPr>
      </w:pPr>
      <w:bookmarkStart w:id="242" w:name="_Toc2753"/>
      <w:bookmarkStart w:id="243" w:name="_Toc31168"/>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如有，</w:t>
      </w:r>
      <w:r>
        <w:rPr>
          <w:rFonts w:hint="eastAsia" w:ascii="仿宋" w:hAnsi="仿宋" w:eastAsia="仿宋" w:cs="仿宋"/>
          <w:b w:val="0"/>
          <w:bCs w:val="0"/>
          <w:color w:val="auto"/>
          <w:sz w:val="24"/>
          <w:szCs w:val="24"/>
          <w:highlight w:val="none"/>
        </w:rPr>
        <w:t>提供符合</w:t>
      </w:r>
      <w:r>
        <w:rPr>
          <w:rFonts w:hint="eastAsia" w:ascii="仿宋" w:hAnsi="仿宋" w:eastAsia="仿宋" w:cs="仿宋"/>
          <w:b w:val="0"/>
          <w:bCs w:val="0"/>
          <w:color w:val="auto"/>
          <w:sz w:val="24"/>
          <w:szCs w:val="24"/>
          <w:highlight w:val="none"/>
          <w:lang w:val="en-US" w:eastAsia="zh-CN"/>
        </w:rPr>
        <w:t>谈判文件要求的其他资格</w:t>
      </w:r>
      <w:r>
        <w:rPr>
          <w:rFonts w:hint="eastAsia" w:ascii="仿宋" w:hAnsi="仿宋" w:eastAsia="仿宋" w:cs="仿宋"/>
          <w:b w:val="0"/>
          <w:bCs w:val="0"/>
          <w:color w:val="auto"/>
          <w:sz w:val="24"/>
          <w:szCs w:val="24"/>
          <w:highlight w:val="none"/>
        </w:rPr>
        <w:t>证明</w:t>
      </w:r>
      <w:r>
        <w:rPr>
          <w:rFonts w:hint="eastAsia" w:ascii="仿宋" w:hAnsi="仿宋" w:eastAsia="仿宋" w:cs="仿宋"/>
          <w:b w:val="0"/>
          <w:bCs w:val="0"/>
          <w:color w:val="auto"/>
          <w:sz w:val="24"/>
          <w:szCs w:val="24"/>
          <w:highlight w:val="none"/>
          <w:lang w:val="en-US" w:eastAsia="zh-CN"/>
        </w:rPr>
        <w:t>材料</w:t>
      </w:r>
      <w:r>
        <w:rPr>
          <w:rFonts w:hint="eastAsia" w:ascii="仿宋" w:hAnsi="仿宋" w:eastAsia="仿宋" w:cs="仿宋"/>
          <w:b w:val="0"/>
          <w:bCs w:val="0"/>
          <w:color w:val="auto"/>
          <w:sz w:val="24"/>
          <w:szCs w:val="24"/>
          <w:highlight w:val="none"/>
        </w:rPr>
        <w:t>）</w:t>
      </w:r>
      <w:bookmarkEnd w:id="242"/>
      <w:bookmarkEnd w:id="243"/>
    </w:p>
    <w:p w14:paraId="626776E5">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6E89FF55">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十二、</w:t>
      </w:r>
      <w:r>
        <w:rPr>
          <w:rFonts w:hint="eastAsia" w:ascii="仿宋" w:hAnsi="仿宋" w:eastAsia="仿宋" w:cs="仿宋"/>
          <w:b/>
          <w:color w:val="auto"/>
          <w:sz w:val="24"/>
          <w:highlight w:val="none"/>
          <w:lang w:eastAsia="zh-CN"/>
        </w:rPr>
        <w:t>谈判</w:t>
      </w:r>
      <w:r>
        <w:rPr>
          <w:rFonts w:hint="eastAsia" w:ascii="仿宋" w:hAnsi="仿宋" w:eastAsia="仿宋" w:cs="仿宋"/>
          <w:b/>
          <w:color w:val="auto"/>
          <w:sz w:val="24"/>
          <w:highlight w:val="none"/>
        </w:rPr>
        <w:t>响应表</w:t>
      </w:r>
    </w:p>
    <w:p w14:paraId="3E58D54B">
      <w:pPr>
        <w:spacing w:line="360" w:lineRule="auto"/>
        <w:ind w:firstLine="435"/>
        <w:outlineLvl w:val="2"/>
        <w:rPr>
          <w:rFonts w:hint="eastAsia" w:ascii="仿宋" w:hAnsi="仿宋" w:eastAsia="仿宋" w:cs="仿宋"/>
          <w:b/>
          <w:color w:val="auto"/>
          <w:sz w:val="24"/>
          <w:highlight w:val="none"/>
        </w:rPr>
      </w:pPr>
    </w:p>
    <w:p w14:paraId="0DD6F794">
      <w:pPr>
        <w:spacing w:line="360" w:lineRule="auto"/>
        <w:ind w:firstLine="435"/>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6.1商务响应表</w:t>
      </w:r>
    </w:p>
    <w:tbl>
      <w:tblPr>
        <w:tblStyle w:val="1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216"/>
        <w:gridCol w:w="2889"/>
        <w:gridCol w:w="2979"/>
        <w:gridCol w:w="1092"/>
      </w:tblGrid>
      <w:tr w14:paraId="7852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17" w:type="pct"/>
            <w:vAlign w:val="center"/>
          </w:tcPr>
          <w:p w14:paraId="3763AE5E">
            <w:pPr>
              <w:pStyle w:val="7"/>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106" w:type="pct"/>
            <w:vAlign w:val="center"/>
          </w:tcPr>
          <w:p w14:paraId="4DC1EED3">
            <w:pPr>
              <w:pStyle w:val="7"/>
              <w:jc w:val="center"/>
              <w:rPr>
                <w:rFonts w:hint="eastAsia" w:ascii="仿宋" w:hAnsi="仿宋" w:eastAsia="仿宋" w:cs="仿宋"/>
                <w:b/>
                <w:color w:val="auto"/>
                <w:sz w:val="24"/>
                <w:highlight w:val="none"/>
              </w:rPr>
            </w:pPr>
            <w:r>
              <w:rPr>
                <w:rFonts w:hint="eastAsia" w:ascii="仿宋" w:hAnsi="仿宋" w:eastAsia="仿宋" w:cs="仿宋"/>
                <w:b/>
                <w:bCs/>
                <w:color w:val="auto"/>
                <w:sz w:val="24"/>
                <w:szCs w:val="24"/>
                <w:highlight w:val="none"/>
              </w:rPr>
              <w:t>商务条款</w:t>
            </w:r>
          </w:p>
        </w:tc>
        <w:tc>
          <w:tcPr>
            <w:tcW w:w="1442" w:type="pct"/>
            <w:vAlign w:val="center"/>
          </w:tcPr>
          <w:p w14:paraId="5DB1CCF5">
            <w:pPr>
              <w:pStyle w:val="7"/>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谈判</w:t>
            </w:r>
            <w:r>
              <w:rPr>
                <w:rFonts w:hint="eastAsia" w:ascii="仿宋" w:hAnsi="仿宋" w:eastAsia="仿宋" w:cs="仿宋"/>
                <w:b/>
                <w:color w:val="auto"/>
                <w:sz w:val="24"/>
                <w:highlight w:val="none"/>
              </w:rPr>
              <w:t>文件要求</w:t>
            </w:r>
          </w:p>
        </w:tc>
        <w:tc>
          <w:tcPr>
            <w:tcW w:w="1487" w:type="pct"/>
            <w:vAlign w:val="center"/>
          </w:tcPr>
          <w:p w14:paraId="706899DD">
            <w:pPr>
              <w:pStyle w:val="7"/>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供应商</w:t>
            </w:r>
            <w:r>
              <w:rPr>
                <w:rFonts w:hint="eastAsia" w:ascii="仿宋" w:hAnsi="仿宋" w:eastAsia="仿宋" w:cs="仿宋"/>
                <w:b/>
                <w:color w:val="auto"/>
                <w:sz w:val="24"/>
                <w:highlight w:val="none"/>
                <w:lang w:val="en-US" w:eastAsia="zh-CN"/>
              </w:rPr>
              <w:t>承诺</w:t>
            </w:r>
          </w:p>
        </w:tc>
        <w:tc>
          <w:tcPr>
            <w:tcW w:w="545" w:type="pct"/>
            <w:vAlign w:val="center"/>
          </w:tcPr>
          <w:p w14:paraId="69AD7628">
            <w:pPr>
              <w:pStyle w:val="7"/>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偏离说明</w:t>
            </w:r>
          </w:p>
        </w:tc>
      </w:tr>
      <w:tr w14:paraId="7798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vAlign w:val="center"/>
          </w:tcPr>
          <w:p w14:paraId="125BF50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06" w:type="pct"/>
            <w:vAlign w:val="center"/>
          </w:tcPr>
          <w:p w14:paraId="3C19EB6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1442" w:type="pct"/>
            <w:vAlign w:val="center"/>
          </w:tcPr>
          <w:p w14:paraId="58C0CA3A">
            <w:pPr>
              <w:jc w:val="center"/>
              <w:rPr>
                <w:rFonts w:hint="eastAsia" w:ascii="仿宋" w:hAnsi="仿宋" w:eastAsia="仿宋" w:cs="仿宋"/>
                <w:color w:val="auto"/>
                <w:sz w:val="24"/>
                <w:highlight w:val="none"/>
              </w:rPr>
            </w:pPr>
          </w:p>
        </w:tc>
        <w:tc>
          <w:tcPr>
            <w:tcW w:w="1487" w:type="pct"/>
            <w:vAlign w:val="center"/>
          </w:tcPr>
          <w:p w14:paraId="1710C6A0">
            <w:pPr>
              <w:jc w:val="center"/>
              <w:rPr>
                <w:rFonts w:hint="eastAsia" w:ascii="仿宋" w:hAnsi="仿宋" w:eastAsia="仿宋" w:cs="仿宋"/>
                <w:color w:val="auto"/>
                <w:sz w:val="24"/>
                <w:highlight w:val="none"/>
              </w:rPr>
            </w:pPr>
          </w:p>
        </w:tc>
        <w:tc>
          <w:tcPr>
            <w:tcW w:w="545" w:type="pct"/>
            <w:vAlign w:val="center"/>
          </w:tcPr>
          <w:p w14:paraId="7A9A5FE8">
            <w:pPr>
              <w:jc w:val="center"/>
              <w:rPr>
                <w:rFonts w:hint="eastAsia" w:ascii="仿宋" w:hAnsi="仿宋" w:eastAsia="仿宋" w:cs="仿宋"/>
                <w:color w:val="auto"/>
                <w:sz w:val="24"/>
                <w:highlight w:val="none"/>
              </w:rPr>
            </w:pPr>
          </w:p>
        </w:tc>
      </w:tr>
      <w:tr w14:paraId="59C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vAlign w:val="center"/>
          </w:tcPr>
          <w:p w14:paraId="50B29C7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06" w:type="pct"/>
            <w:vAlign w:val="center"/>
          </w:tcPr>
          <w:p w14:paraId="389E791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w:t>
            </w:r>
          </w:p>
        </w:tc>
        <w:tc>
          <w:tcPr>
            <w:tcW w:w="1442" w:type="pct"/>
            <w:vAlign w:val="center"/>
          </w:tcPr>
          <w:p w14:paraId="60DBA4A3">
            <w:pPr>
              <w:jc w:val="center"/>
              <w:rPr>
                <w:rFonts w:hint="eastAsia" w:ascii="仿宋" w:hAnsi="仿宋" w:eastAsia="仿宋" w:cs="仿宋"/>
                <w:color w:val="auto"/>
                <w:sz w:val="24"/>
                <w:highlight w:val="none"/>
              </w:rPr>
            </w:pPr>
          </w:p>
        </w:tc>
        <w:tc>
          <w:tcPr>
            <w:tcW w:w="1487" w:type="pct"/>
            <w:vAlign w:val="center"/>
          </w:tcPr>
          <w:p w14:paraId="373BF439">
            <w:pPr>
              <w:jc w:val="center"/>
              <w:rPr>
                <w:rFonts w:hint="eastAsia" w:ascii="仿宋" w:hAnsi="仿宋" w:eastAsia="仿宋" w:cs="仿宋"/>
                <w:color w:val="auto"/>
                <w:sz w:val="24"/>
                <w:highlight w:val="none"/>
              </w:rPr>
            </w:pPr>
          </w:p>
        </w:tc>
        <w:tc>
          <w:tcPr>
            <w:tcW w:w="545" w:type="pct"/>
            <w:vAlign w:val="center"/>
          </w:tcPr>
          <w:p w14:paraId="6C7A2A94">
            <w:pPr>
              <w:jc w:val="center"/>
              <w:rPr>
                <w:rFonts w:hint="eastAsia" w:ascii="仿宋" w:hAnsi="仿宋" w:eastAsia="仿宋" w:cs="仿宋"/>
                <w:color w:val="auto"/>
                <w:sz w:val="24"/>
                <w:highlight w:val="none"/>
              </w:rPr>
            </w:pPr>
          </w:p>
        </w:tc>
      </w:tr>
      <w:tr w14:paraId="1836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vAlign w:val="center"/>
          </w:tcPr>
          <w:p w14:paraId="6BBB4D6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106" w:type="pct"/>
            <w:vAlign w:val="center"/>
          </w:tcPr>
          <w:p w14:paraId="72C1869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w:t>
            </w:r>
          </w:p>
        </w:tc>
        <w:tc>
          <w:tcPr>
            <w:tcW w:w="1442" w:type="pct"/>
            <w:vAlign w:val="center"/>
          </w:tcPr>
          <w:p w14:paraId="2597A425">
            <w:pPr>
              <w:jc w:val="center"/>
              <w:rPr>
                <w:rFonts w:hint="eastAsia" w:ascii="仿宋" w:hAnsi="仿宋" w:eastAsia="仿宋" w:cs="仿宋"/>
                <w:color w:val="auto"/>
                <w:sz w:val="24"/>
                <w:highlight w:val="none"/>
              </w:rPr>
            </w:pPr>
          </w:p>
        </w:tc>
        <w:tc>
          <w:tcPr>
            <w:tcW w:w="1487" w:type="pct"/>
            <w:vAlign w:val="center"/>
          </w:tcPr>
          <w:p w14:paraId="4B660B16">
            <w:pPr>
              <w:pStyle w:val="35"/>
              <w:jc w:val="center"/>
              <w:rPr>
                <w:rFonts w:hint="eastAsia" w:ascii="仿宋" w:hAnsi="仿宋" w:eastAsia="仿宋" w:cs="仿宋"/>
                <w:color w:val="auto"/>
                <w:highlight w:val="none"/>
              </w:rPr>
            </w:pPr>
          </w:p>
        </w:tc>
        <w:tc>
          <w:tcPr>
            <w:tcW w:w="545" w:type="pct"/>
            <w:vAlign w:val="center"/>
          </w:tcPr>
          <w:p w14:paraId="4A4ADEC0">
            <w:pPr>
              <w:jc w:val="center"/>
              <w:rPr>
                <w:rFonts w:hint="eastAsia" w:ascii="仿宋" w:hAnsi="仿宋" w:eastAsia="仿宋" w:cs="仿宋"/>
                <w:color w:val="auto"/>
                <w:sz w:val="24"/>
                <w:highlight w:val="none"/>
              </w:rPr>
            </w:pPr>
          </w:p>
        </w:tc>
      </w:tr>
    </w:tbl>
    <w:p w14:paraId="73FF0854">
      <w:pPr>
        <w:spacing w:line="360" w:lineRule="auto"/>
        <w:ind w:firstLine="435"/>
        <w:outlineLvl w:val="2"/>
        <w:rPr>
          <w:rFonts w:hint="eastAsia" w:ascii="仿宋" w:hAnsi="仿宋" w:eastAsia="仿宋" w:cs="仿宋"/>
          <w:b/>
          <w:color w:val="auto"/>
          <w:sz w:val="24"/>
          <w:highlight w:val="none"/>
        </w:rPr>
      </w:pPr>
    </w:p>
    <w:p w14:paraId="5A4E6EF7">
      <w:pPr>
        <w:spacing w:line="360" w:lineRule="auto"/>
        <w:ind w:firstLine="435"/>
        <w:outlineLvl w:val="2"/>
        <w:rPr>
          <w:rFonts w:hint="eastAsia" w:ascii="仿宋" w:hAnsi="仿宋" w:eastAsia="仿宋" w:cs="仿宋"/>
          <w:bCs/>
          <w:i/>
          <w:iCs/>
          <w:color w:val="auto"/>
          <w:sz w:val="24"/>
          <w:highlight w:val="none"/>
        </w:rPr>
      </w:pPr>
      <w:r>
        <w:rPr>
          <w:rFonts w:hint="eastAsia" w:ascii="仿宋" w:hAnsi="仿宋" w:eastAsia="仿宋" w:cs="仿宋"/>
          <w:b/>
          <w:color w:val="auto"/>
          <w:sz w:val="24"/>
          <w:highlight w:val="none"/>
        </w:rPr>
        <w:t>6.2技术响应表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804"/>
        <w:gridCol w:w="2936"/>
        <w:gridCol w:w="3249"/>
        <w:gridCol w:w="990"/>
      </w:tblGrid>
      <w:tr w14:paraId="6FFB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shd w:val="clear" w:color="auto" w:fill="auto"/>
            <w:vAlign w:val="center"/>
          </w:tcPr>
          <w:p w14:paraId="41C2A42E">
            <w:pPr>
              <w:pStyle w:val="7"/>
              <w:jc w:val="center"/>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sz w:val="24"/>
                <w:highlight w:val="none"/>
              </w:rPr>
              <w:t>序号</w:t>
            </w:r>
          </w:p>
        </w:tc>
        <w:tc>
          <w:tcPr>
            <w:tcW w:w="915" w:type="pct"/>
            <w:shd w:val="clear" w:color="auto" w:fill="auto"/>
            <w:vAlign w:val="center"/>
          </w:tcPr>
          <w:p w14:paraId="205738FF">
            <w:pPr>
              <w:pStyle w:val="7"/>
              <w:jc w:val="center"/>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名称</w:t>
            </w:r>
          </w:p>
        </w:tc>
        <w:tc>
          <w:tcPr>
            <w:tcW w:w="1489" w:type="pct"/>
            <w:shd w:val="clear" w:color="auto" w:fill="auto"/>
            <w:vAlign w:val="center"/>
          </w:tcPr>
          <w:p w14:paraId="55942685">
            <w:pPr>
              <w:pStyle w:val="7"/>
              <w:jc w:val="center"/>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sz w:val="24"/>
                <w:highlight w:val="none"/>
                <w:lang w:eastAsia="zh-CN"/>
              </w:rPr>
              <w:t>谈判</w:t>
            </w:r>
            <w:r>
              <w:rPr>
                <w:rFonts w:hint="eastAsia" w:ascii="仿宋" w:hAnsi="仿宋" w:eastAsia="仿宋" w:cs="仿宋"/>
                <w:b/>
                <w:color w:val="auto"/>
                <w:sz w:val="24"/>
                <w:highlight w:val="none"/>
              </w:rPr>
              <w:t>文件规定的</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w:t>
            </w:r>
          </w:p>
        </w:tc>
        <w:tc>
          <w:tcPr>
            <w:tcW w:w="1648" w:type="pct"/>
            <w:shd w:val="clear" w:color="auto" w:fill="auto"/>
            <w:vAlign w:val="center"/>
          </w:tcPr>
          <w:p w14:paraId="76FEA802">
            <w:pPr>
              <w:pStyle w:val="7"/>
              <w:jc w:val="center"/>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sz w:val="24"/>
                <w:highlight w:val="none"/>
                <w:lang w:val="en-US" w:eastAsia="zh-CN"/>
              </w:rPr>
              <w:t>供应商响应情况</w:t>
            </w:r>
          </w:p>
        </w:tc>
        <w:tc>
          <w:tcPr>
            <w:tcW w:w="502" w:type="pct"/>
            <w:shd w:val="clear" w:color="auto" w:fill="auto"/>
            <w:vAlign w:val="center"/>
          </w:tcPr>
          <w:p w14:paraId="3C2F4CE0">
            <w:pPr>
              <w:pStyle w:val="7"/>
              <w:jc w:val="center"/>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sz w:val="24"/>
                <w:highlight w:val="none"/>
              </w:rPr>
              <w:t>偏离说明</w:t>
            </w:r>
          </w:p>
        </w:tc>
      </w:tr>
      <w:tr w14:paraId="301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44" w:type="pct"/>
            <w:shd w:val="clear" w:color="auto" w:fill="auto"/>
            <w:vAlign w:val="center"/>
          </w:tcPr>
          <w:p w14:paraId="0CE51ABA">
            <w:pPr>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1</w:t>
            </w:r>
          </w:p>
        </w:tc>
        <w:tc>
          <w:tcPr>
            <w:tcW w:w="915" w:type="pct"/>
            <w:shd w:val="clear" w:color="auto" w:fill="auto"/>
            <w:vAlign w:val="center"/>
          </w:tcPr>
          <w:p w14:paraId="53FE9854">
            <w:pPr>
              <w:pStyle w:val="7"/>
              <w:jc w:val="center"/>
              <w:rPr>
                <w:rFonts w:hint="eastAsia" w:ascii="仿宋" w:hAnsi="仿宋" w:eastAsia="仿宋" w:cs="仿宋"/>
                <w:b/>
                <w:bCs/>
                <w:color w:val="auto"/>
                <w:sz w:val="24"/>
                <w:szCs w:val="24"/>
                <w:highlight w:val="none"/>
              </w:rPr>
            </w:pPr>
          </w:p>
        </w:tc>
        <w:tc>
          <w:tcPr>
            <w:tcW w:w="1489" w:type="pct"/>
            <w:shd w:val="clear" w:color="auto" w:fill="auto"/>
            <w:vAlign w:val="center"/>
          </w:tcPr>
          <w:p w14:paraId="275A16E5">
            <w:pPr>
              <w:pStyle w:val="7"/>
              <w:jc w:val="center"/>
              <w:rPr>
                <w:rFonts w:hint="eastAsia" w:ascii="仿宋" w:hAnsi="仿宋" w:eastAsia="仿宋" w:cs="仿宋"/>
                <w:b/>
                <w:color w:val="auto"/>
                <w:sz w:val="24"/>
                <w:highlight w:val="none"/>
              </w:rPr>
            </w:pPr>
          </w:p>
        </w:tc>
        <w:tc>
          <w:tcPr>
            <w:tcW w:w="1648" w:type="pct"/>
            <w:shd w:val="clear" w:color="auto" w:fill="auto"/>
            <w:vAlign w:val="center"/>
          </w:tcPr>
          <w:p w14:paraId="4D45F8D0">
            <w:pPr>
              <w:pStyle w:val="7"/>
              <w:jc w:val="center"/>
              <w:rPr>
                <w:rFonts w:hint="eastAsia" w:ascii="仿宋" w:hAnsi="仿宋" w:eastAsia="仿宋" w:cs="仿宋"/>
                <w:b/>
                <w:color w:val="auto"/>
                <w:sz w:val="24"/>
                <w:highlight w:val="none"/>
              </w:rPr>
            </w:pPr>
          </w:p>
        </w:tc>
        <w:tc>
          <w:tcPr>
            <w:tcW w:w="502" w:type="pct"/>
            <w:shd w:val="clear" w:color="auto" w:fill="auto"/>
            <w:vAlign w:val="center"/>
          </w:tcPr>
          <w:p w14:paraId="138AFE68">
            <w:pPr>
              <w:pStyle w:val="7"/>
              <w:jc w:val="center"/>
              <w:rPr>
                <w:rFonts w:hint="eastAsia" w:ascii="仿宋" w:hAnsi="仿宋" w:eastAsia="仿宋" w:cs="仿宋"/>
                <w:b/>
                <w:color w:val="auto"/>
                <w:sz w:val="24"/>
                <w:highlight w:val="none"/>
              </w:rPr>
            </w:pPr>
          </w:p>
        </w:tc>
      </w:tr>
      <w:tr w14:paraId="3BB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44" w:type="pct"/>
            <w:shd w:val="clear" w:color="auto" w:fill="auto"/>
            <w:vAlign w:val="center"/>
          </w:tcPr>
          <w:p w14:paraId="08565309">
            <w:pPr>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2</w:t>
            </w:r>
          </w:p>
        </w:tc>
        <w:tc>
          <w:tcPr>
            <w:tcW w:w="915" w:type="pct"/>
            <w:shd w:val="clear" w:color="auto" w:fill="auto"/>
            <w:vAlign w:val="center"/>
          </w:tcPr>
          <w:p w14:paraId="51B3D868">
            <w:pPr>
              <w:pStyle w:val="7"/>
              <w:jc w:val="center"/>
              <w:rPr>
                <w:rFonts w:hint="eastAsia" w:ascii="仿宋" w:hAnsi="仿宋" w:eastAsia="仿宋" w:cs="仿宋"/>
                <w:b/>
                <w:bCs/>
                <w:color w:val="auto"/>
                <w:sz w:val="24"/>
                <w:szCs w:val="24"/>
                <w:highlight w:val="none"/>
              </w:rPr>
            </w:pPr>
          </w:p>
        </w:tc>
        <w:tc>
          <w:tcPr>
            <w:tcW w:w="1489" w:type="pct"/>
            <w:shd w:val="clear" w:color="auto" w:fill="auto"/>
            <w:vAlign w:val="center"/>
          </w:tcPr>
          <w:p w14:paraId="31A8E220">
            <w:pPr>
              <w:pStyle w:val="7"/>
              <w:jc w:val="center"/>
              <w:rPr>
                <w:rFonts w:hint="eastAsia" w:ascii="仿宋" w:hAnsi="仿宋" w:eastAsia="仿宋" w:cs="仿宋"/>
                <w:b/>
                <w:color w:val="auto"/>
                <w:sz w:val="24"/>
                <w:highlight w:val="none"/>
              </w:rPr>
            </w:pPr>
          </w:p>
        </w:tc>
        <w:tc>
          <w:tcPr>
            <w:tcW w:w="1648" w:type="pct"/>
            <w:shd w:val="clear" w:color="auto" w:fill="auto"/>
            <w:vAlign w:val="center"/>
          </w:tcPr>
          <w:p w14:paraId="6E5F8A00">
            <w:pPr>
              <w:pStyle w:val="7"/>
              <w:jc w:val="center"/>
              <w:rPr>
                <w:rFonts w:hint="eastAsia" w:ascii="仿宋" w:hAnsi="仿宋" w:eastAsia="仿宋" w:cs="仿宋"/>
                <w:b/>
                <w:color w:val="auto"/>
                <w:sz w:val="24"/>
                <w:highlight w:val="none"/>
              </w:rPr>
            </w:pPr>
          </w:p>
        </w:tc>
        <w:tc>
          <w:tcPr>
            <w:tcW w:w="502" w:type="pct"/>
            <w:shd w:val="clear" w:color="auto" w:fill="auto"/>
            <w:vAlign w:val="center"/>
          </w:tcPr>
          <w:p w14:paraId="50757DEC">
            <w:pPr>
              <w:pStyle w:val="7"/>
              <w:jc w:val="center"/>
              <w:rPr>
                <w:rFonts w:hint="eastAsia" w:ascii="仿宋" w:hAnsi="仿宋" w:eastAsia="仿宋" w:cs="仿宋"/>
                <w:b/>
                <w:color w:val="auto"/>
                <w:sz w:val="24"/>
                <w:highlight w:val="none"/>
              </w:rPr>
            </w:pPr>
          </w:p>
        </w:tc>
      </w:tr>
      <w:tr w14:paraId="06CF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44" w:type="pct"/>
            <w:shd w:val="clear" w:color="auto" w:fill="auto"/>
            <w:vAlign w:val="center"/>
          </w:tcPr>
          <w:p w14:paraId="21535928">
            <w:pPr>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3</w:t>
            </w:r>
          </w:p>
        </w:tc>
        <w:tc>
          <w:tcPr>
            <w:tcW w:w="915" w:type="pct"/>
            <w:shd w:val="clear" w:color="auto" w:fill="auto"/>
            <w:vAlign w:val="center"/>
          </w:tcPr>
          <w:p w14:paraId="56978A3E">
            <w:pPr>
              <w:pStyle w:val="7"/>
              <w:jc w:val="center"/>
              <w:rPr>
                <w:rFonts w:hint="eastAsia" w:ascii="仿宋" w:hAnsi="仿宋" w:eastAsia="仿宋" w:cs="仿宋"/>
                <w:b/>
                <w:bCs/>
                <w:color w:val="auto"/>
                <w:sz w:val="24"/>
                <w:szCs w:val="24"/>
                <w:highlight w:val="none"/>
              </w:rPr>
            </w:pPr>
          </w:p>
        </w:tc>
        <w:tc>
          <w:tcPr>
            <w:tcW w:w="1489" w:type="pct"/>
            <w:shd w:val="clear" w:color="auto" w:fill="auto"/>
            <w:vAlign w:val="center"/>
          </w:tcPr>
          <w:p w14:paraId="72DB047B">
            <w:pPr>
              <w:pStyle w:val="7"/>
              <w:jc w:val="center"/>
              <w:rPr>
                <w:rFonts w:hint="eastAsia" w:ascii="仿宋" w:hAnsi="仿宋" w:eastAsia="仿宋" w:cs="仿宋"/>
                <w:b/>
                <w:color w:val="auto"/>
                <w:sz w:val="24"/>
                <w:highlight w:val="none"/>
              </w:rPr>
            </w:pPr>
          </w:p>
        </w:tc>
        <w:tc>
          <w:tcPr>
            <w:tcW w:w="1648" w:type="pct"/>
            <w:shd w:val="clear" w:color="auto" w:fill="auto"/>
            <w:vAlign w:val="center"/>
          </w:tcPr>
          <w:p w14:paraId="71F3B0B1">
            <w:pPr>
              <w:pStyle w:val="7"/>
              <w:jc w:val="center"/>
              <w:rPr>
                <w:rFonts w:hint="eastAsia" w:ascii="仿宋" w:hAnsi="仿宋" w:eastAsia="仿宋" w:cs="仿宋"/>
                <w:b/>
                <w:color w:val="auto"/>
                <w:sz w:val="24"/>
                <w:highlight w:val="none"/>
              </w:rPr>
            </w:pPr>
          </w:p>
        </w:tc>
        <w:tc>
          <w:tcPr>
            <w:tcW w:w="502" w:type="pct"/>
            <w:shd w:val="clear" w:color="auto" w:fill="auto"/>
            <w:vAlign w:val="center"/>
          </w:tcPr>
          <w:p w14:paraId="5CEF08D3">
            <w:pPr>
              <w:pStyle w:val="7"/>
              <w:jc w:val="center"/>
              <w:rPr>
                <w:rFonts w:hint="eastAsia" w:ascii="仿宋" w:hAnsi="仿宋" w:eastAsia="仿宋" w:cs="仿宋"/>
                <w:b/>
                <w:color w:val="auto"/>
                <w:sz w:val="24"/>
                <w:highlight w:val="none"/>
              </w:rPr>
            </w:pPr>
          </w:p>
        </w:tc>
      </w:tr>
    </w:tbl>
    <w:p w14:paraId="6D241EEF">
      <w:pPr>
        <w:spacing w:line="360" w:lineRule="auto"/>
        <w:ind w:firstLine="4800" w:firstLineChars="2000"/>
        <w:rPr>
          <w:rFonts w:hint="eastAsia" w:ascii="仿宋" w:hAnsi="仿宋" w:eastAsia="仿宋" w:cs="仿宋"/>
          <w:color w:val="auto"/>
          <w:sz w:val="24"/>
          <w:highlight w:val="none"/>
        </w:rPr>
      </w:pPr>
    </w:p>
    <w:p w14:paraId="69EC7A69">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供应商单位盖章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2F24884">
      <w:pPr>
        <w:tabs>
          <w:tab w:val="left" w:pos="630"/>
        </w:tabs>
        <w:spacing w:line="360" w:lineRule="auto"/>
        <w:ind w:firstLine="4800" w:firstLineChars="2000"/>
        <w:rPr>
          <w:rFonts w:hint="eastAsia" w:ascii="仿宋" w:hAnsi="仿宋" w:eastAsia="仿宋" w:cs="仿宋"/>
          <w:b/>
          <w:bCs/>
          <w:color w:val="auto"/>
          <w:sz w:val="24"/>
          <w:szCs w:val="28"/>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37A72BED">
      <w:pPr>
        <w:spacing w:line="360" w:lineRule="auto"/>
        <w:jc w:val="left"/>
        <w:outlineLvl w:val="1"/>
        <w:rPr>
          <w:rFonts w:hint="eastAsia" w:ascii="仿宋" w:hAnsi="仿宋" w:eastAsia="仿宋" w:cs="仿宋"/>
          <w:b/>
          <w:bCs/>
          <w:color w:val="auto"/>
          <w:sz w:val="24"/>
          <w:szCs w:val="28"/>
          <w:highlight w:val="none"/>
        </w:rPr>
      </w:pPr>
    </w:p>
    <w:p w14:paraId="1D510401">
      <w:pPr>
        <w:spacing w:line="360" w:lineRule="auto"/>
        <w:jc w:val="left"/>
        <w:outlineLvl w:val="1"/>
        <w:rPr>
          <w:rFonts w:hint="eastAsia" w:ascii="仿宋" w:hAnsi="仿宋" w:eastAsia="仿宋" w:cs="仿宋"/>
          <w:color w:val="auto"/>
          <w:sz w:val="24"/>
          <w:szCs w:val="28"/>
          <w:highlight w:val="none"/>
        </w:rPr>
      </w:pPr>
      <w:r>
        <w:rPr>
          <w:rFonts w:hint="eastAsia" w:ascii="仿宋" w:hAnsi="仿宋" w:eastAsia="仿宋" w:cs="仿宋"/>
          <w:b/>
          <w:bCs/>
          <w:color w:val="auto"/>
          <w:sz w:val="24"/>
          <w:szCs w:val="28"/>
          <w:highlight w:val="none"/>
        </w:rPr>
        <w:t>备注：</w:t>
      </w:r>
      <w:r>
        <w:rPr>
          <w:rFonts w:hint="eastAsia" w:ascii="仿宋" w:hAnsi="仿宋" w:eastAsia="仿宋" w:cs="仿宋"/>
          <w:color w:val="auto"/>
          <w:sz w:val="24"/>
          <w:szCs w:val="28"/>
          <w:highlight w:val="none"/>
        </w:rPr>
        <w:t>技术响应（</w:t>
      </w:r>
      <w:r>
        <w:rPr>
          <w:rFonts w:hint="eastAsia" w:ascii="仿宋" w:hAnsi="仿宋" w:eastAsia="仿宋" w:cs="仿宋"/>
          <w:color w:val="auto"/>
          <w:sz w:val="24"/>
          <w:szCs w:val="28"/>
          <w:highlight w:val="none"/>
          <w:lang w:val="en-US" w:eastAsia="zh-CN"/>
        </w:rPr>
        <w:t>谈判</w:t>
      </w:r>
      <w:r>
        <w:rPr>
          <w:rFonts w:hint="eastAsia" w:ascii="仿宋" w:hAnsi="仿宋" w:eastAsia="仿宋" w:cs="仿宋"/>
          <w:color w:val="auto"/>
          <w:sz w:val="24"/>
          <w:szCs w:val="28"/>
          <w:highlight w:val="none"/>
        </w:rPr>
        <w:t>文件要求的</w:t>
      </w:r>
      <w:r>
        <w:rPr>
          <w:rFonts w:hint="eastAsia" w:ascii="仿宋" w:hAnsi="仿宋" w:eastAsia="仿宋" w:cs="仿宋"/>
          <w:bCs/>
          <w:color w:val="auto"/>
          <w:sz w:val="24"/>
          <w:szCs w:val="28"/>
          <w:highlight w:val="none"/>
        </w:rPr>
        <w:t>所有实质性响应技术条款</w:t>
      </w:r>
      <w:r>
        <w:rPr>
          <w:rFonts w:hint="eastAsia" w:ascii="仿宋" w:hAnsi="仿宋" w:eastAsia="仿宋" w:cs="仿宋"/>
          <w:color w:val="auto"/>
          <w:sz w:val="24"/>
          <w:szCs w:val="28"/>
          <w:highlight w:val="none"/>
        </w:rPr>
        <w:t>无重大偏离）、</w:t>
      </w:r>
      <w:r>
        <w:rPr>
          <w:rFonts w:hint="eastAsia" w:ascii="仿宋" w:hAnsi="仿宋" w:eastAsia="仿宋" w:cs="仿宋"/>
          <w:color w:val="auto"/>
          <w:sz w:val="24"/>
          <w:szCs w:val="28"/>
          <w:highlight w:val="none"/>
          <w:lang w:val="en-US" w:eastAsia="zh-CN"/>
        </w:rPr>
        <w:t>服务期</w:t>
      </w:r>
      <w:r>
        <w:rPr>
          <w:rFonts w:hint="eastAsia" w:ascii="仿宋" w:hAnsi="仿宋" w:eastAsia="仿宋" w:cs="仿宋"/>
          <w:color w:val="auto"/>
          <w:sz w:val="24"/>
          <w:szCs w:val="28"/>
          <w:highlight w:val="none"/>
        </w:rPr>
        <w:t>响应及付款响应等须与</w:t>
      </w:r>
      <w:r>
        <w:rPr>
          <w:rFonts w:hint="eastAsia" w:ascii="仿宋" w:hAnsi="仿宋" w:eastAsia="仿宋" w:cs="仿宋"/>
          <w:color w:val="auto"/>
          <w:sz w:val="24"/>
          <w:szCs w:val="28"/>
          <w:highlight w:val="none"/>
          <w:lang w:val="en-US" w:eastAsia="zh-CN"/>
        </w:rPr>
        <w:t>谈判</w:t>
      </w:r>
      <w:r>
        <w:rPr>
          <w:rFonts w:hint="eastAsia" w:ascii="仿宋" w:hAnsi="仿宋" w:eastAsia="仿宋" w:cs="仿宋"/>
          <w:color w:val="auto"/>
          <w:sz w:val="24"/>
          <w:szCs w:val="28"/>
          <w:highlight w:val="none"/>
        </w:rPr>
        <w:t>文件要求无重大偏离，否则可能导致</w:t>
      </w:r>
      <w:r>
        <w:rPr>
          <w:rFonts w:hint="eastAsia" w:ascii="仿宋" w:hAnsi="仿宋" w:eastAsia="仿宋" w:cs="仿宋"/>
          <w:color w:val="auto"/>
          <w:sz w:val="24"/>
          <w:szCs w:val="28"/>
          <w:highlight w:val="none"/>
          <w:lang w:val="en-US" w:eastAsia="zh-CN"/>
        </w:rPr>
        <w:t>响应</w:t>
      </w:r>
      <w:r>
        <w:rPr>
          <w:rFonts w:hint="eastAsia" w:ascii="仿宋" w:hAnsi="仿宋" w:eastAsia="仿宋" w:cs="仿宋"/>
          <w:color w:val="auto"/>
          <w:sz w:val="24"/>
          <w:szCs w:val="28"/>
          <w:highlight w:val="none"/>
        </w:rPr>
        <w:t>无效。</w:t>
      </w:r>
    </w:p>
    <w:p w14:paraId="5F18A1D4">
      <w:pPr>
        <w:spacing w:line="360" w:lineRule="auto"/>
        <w:jc w:val="center"/>
        <w:outlineLvl w:val="1"/>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lang w:val="en-US" w:eastAsia="zh-CN"/>
        </w:rPr>
        <w:t>十三、其他技术响应证明材料</w:t>
      </w:r>
    </w:p>
    <w:p w14:paraId="343B68A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提供符合</w:t>
      </w:r>
      <w:r>
        <w:rPr>
          <w:rFonts w:hint="eastAsia" w:ascii="仿宋" w:hAnsi="仿宋" w:eastAsia="仿宋" w:cs="仿宋"/>
          <w:color w:val="auto"/>
          <w:sz w:val="24"/>
          <w:highlight w:val="none"/>
          <w:lang w:val="en-US" w:eastAsia="zh-CN"/>
        </w:rPr>
        <w:t>谈判文件要求的其他技术响应</w:t>
      </w:r>
      <w:r>
        <w:rPr>
          <w:rFonts w:hint="eastAsia" w:ascii="仿宋" w:hAnsi="仿宋" w:eastAsia="仿宋" w:cs="仿宋"/>
          <w:color w:val="auto"/>
          <w:sz w:val="24"/>
          <w:highlight w:val="none"/>
        </w:rPr>
        <w:t>证明</w:t>
      </w:r>
      <w:r>
        <w:rPr>
          <w:rFonts w:hint="eastAsia" w:ascii="仿宋" w:hAnsi="仿宋" w:eastAsia="仿宋" w:cs="仿宋"/>
          <w:color w:val="auto"/>
          <w:sz w:val="24"/>
          <w:highlight w:val="none"/>
          <w:lang w:val="en-US" w:eastAsia="zh-CN"/>
        </w:rPr>
        <w:t>材料</w:t>
      </w:r>
      <w:r>
        <w:rPr>
          <w:rFonts w:hint="eastAsia" w:ascii="仿宋" w:hAnsi="仿宋" w:eastAsia="仿宋" w:cs="仿宋"/>
          <w:color w:val="auto"/>
          <w:sz w:val="24"/>
          <w:highlight w:val="none"/>
          <w:lang w:eastAsia="zh-CN"/>
        </w:rPr>
        <w:t>）</w:t>
      </w:r>
    </w:p>
    <w:p w14:paraId="251DA1E3">
      <w:pPr>
        <w:rPr>
          <w:rFonts w:hint="eastAsia" w:ascii="仿宋" w:hAnsi="仿宋" w:eastAsia="仿宋" w:cs="仿宋"/>
          <w:b/>
          <w:color w:val="auto"/>
          <w:sz w:val="24"/>
          <w:highlight w:val="none"/>
        </w:rPr>
      </w:pPr>
    </w:p>
    <w:p w14:paraId="25710336">
      <w:pP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br w:type="page"/>
      </w:r>
    </w:p>
    <w:bookmarkEnd w:id="231"/>
    <w:bookmarkEnd w:id="232"/>
    <w:p w14:paraId="2B33F11E">
      <w:pPr>
        <w:numPr>
          <w:ilvl w:val="0"/>
          <w:numId w:val="1"/>
        </w:numPr>
        <w:spacing w:line="360" w:lineRule="auto"/>
        <w:jc w:val="center"/>
        <w:outlineLvl w:val="1"/>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报价表</w:t>
      </w:r>
    </w:p>
    <w:p w14:paraId="484A03D4">
      <w:pPr>
        <w:numPr>
          <w:ilvl w:val="0"/>
          <w:numId w:val="0"/>
        </w:numPr>
        <w:spacing w:line="360" w:lineRule="auto"/>
        <w:jc w:val="both"/>
        <w:outlineLvl w:val="1"/>
        <w:rPr>
          <w:rFonts w:hint="eastAsia" w:ascii="仿宋" w:hAnsi="仿宋" w:eastAsia="仿宋" w:cs="仿宋"/>
          <w:b/>
          <w:color w:val="auto"/>
          <w:sz w:val="24"/>
          <w:highlight w:val="none"/>
          <w:lang w:val="en-US" w:eastAsia="zh-C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63D6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45A705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3557" w:type="pct"/>
            <w:tcBorders>
              <w:left w:val="single" w:color="auto" w:sz="4" w:space="0"/>
            </w:tcBorders>
            <w:vAlign w:val="center"/>
          </w:tcPr>
          <w:p w14:paraId="1DB9B00A">
            <w:pPr>
              <w:spacing w:line="360" w:lineRule="auto"/>
              <w:rPr>
                <w:rFonts w:hint="eastAsia" w:ascii="仿宋" w:hAnsi="仿宋" w:eastAsia="仿宋" w:cs="仿宋"/>
                <w:b/>
                <w:color w:val="auto"/>
                <w:sz w:val="24"/>
                <w:highlight w:val="none"/>
              </w:rPr>
            </w:pPr>
          </w:p>
        </w:tc>
      </w:tr>
      <w:tr w14:paraId="0ACC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A10120">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谈判</w:t>
            </w:r>
            <w:r>
              <w:rPr>
                <w:rFonts w:hint="eastAsia" w:ascii="仿宋" w:hAnsi="仿宋" w:eastAsia="仿宋" w:cs="仿宋"/>
                <w:b/>
                <w:color w:val="auto"/>
                <w:sz w:val="24"/>
                <w:highlight w:val="none"/>
              </w:rPr>
              <w:t>范围</w:t>
            </w:r>
          </w:p>
        </w:tc>
        <w:tc>
          <w:tcPr>
            <w:tcW w:w="3557" w:type="pct"/>
            <w:tcBorders>
              <w:left w:val="single" w:color="auto" w:sz="4" w:space="0"/>
            </w:tcBorders>
            <w:vAlign w:val="center"/>
          </w:tcPr>
          <w:p w14:paraId="638C9E2C">
            <w:pPr>
              <w:widowControl/>
              <w:spacing w:line="360" w:lineRule="exact"/>
              <w:rPr>
                <w:rFonts w:hint="eastAsia" w:ascii="仿宋" w:hAnsi="仿宋" w:eastAsia="仿宋" w:cs="仿宋"/>
                <w:b/>
                <w:color w:val="auto"/>
                <w:sz w:val="24"/>
                <w:highlight w:val="none"/>
              </w:rPr>
            </w:pPr>
            <w:r>
              <w:rPr>
                <w:rFonts w:hint="eastAsia" w:ascii="仿宋" w:hAnsi="仿宋" w:eastAsia="仿宋" w:cs="仿宋"/>
                <w:color w:val="auto"/>
                <w:sz w:val="24"/>
                <w:szCs w:val="28"/>
                <w:highlight w:val="none"/>
              </w:rPr>
              <w:t>第</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包</w:t>
            </w:r>
          </w:p>
        </w:tc>
      </w:tr>
      <w:tr w14:paraId="55C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17142A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w:t>
            </w:r>
          </w:p>
          <w:p w14:paraId="2CD96BE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（详见备注说明）</w:t>
            </w:r>
          </w:p>
        </w:tc>
        <w:tc>
          <w:tcPr>
            <w:tcW w:w="3557" w:type="pct"/>
            <w:vAlign w:val="center"/>
          </w:tcPr>
          <w:p w14:paraId="460CFEBE">
            <w:pPr>
              <w:snapToGrid w:val="0"/>
              <w:spacing w:line="360" w:lineRule="auto"/>
              <w:rPr>
                <w:rFonts w:hint="eastAsia" w:ascii="仿宋" w:hAnsi="仿宋" w:eastAsia="仿宋" w:cs="仿宋"/>
                <w:color w:val="auto"/>
                <w:sz w:val="24"/>
                <w:szCs w:val="28"/>
                <w:highlight w:val="none"/>
              </w:rPr>
            </w:pPr>
          </w:p>
          <w:p w14:paraId="5FDF08B0">
            <w:pPr>
              <w:snapToGrid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p w14:paraId="34119DBA">
            <w:pPr>
              <w:spacing w:line="360" w:lineRule="auto"/>
              <w:ind w:right="-67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06808735">
            <w:pPr>
              <w:snapToGrid w:val="0"/>
              <w:spacing w:line="360" w:lineRule="auto"/>
              <w:rPr>
                <w:rFonts w:hint="eastAsia" w:ascii="仿宋" w:hAnsi="仿宋" w:eastAsia="仿宋" w:cs="仿宋"/>
                <w:b/>
                <w:color w:val="auto"/>
                <w:sz w:val="24"/>
                <w:highlight w:val="none"/>
              </w:rPr>
            </w:pPr>
          </w:p>
        </w:tc>
      </w:tr>
      <w:tr w14:paraId="56E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DC7C08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c>
          <w:tcPr>
            <w:tcW w:w="3557" w:type="pct"/>
            <w:vAlign w:val="center"/>
          </w:tcPr>
          <w:p w14:paraId="5ACA2E23">
            <w:pPr>
              <w:spacing w:line="360" w:lineRule="auto"/>
              <w:rPr>
                <w:rFonts w:hint="eastAsia" w:ascii="仿宋" w:hAnsi="仿宋" w:eastAsia="仿宋" w:cs="仿宋"/>
                <w:b/>
                <w:color w:val="auto"/>
                <w:sz w:val="24"/>
                <w:highlight w:val="none"/>
              </w:rPr>
            </w:pPr>
          </w:p>
        </w:tc>
      </w:tr>
    </w:tbl>
    <w:p w14:paraId="6207F9F4">
      <w:pPr>
        <w:spacing w:line="360" w:lineRule="auto"/>
        <w:ind w:firstLine="4800" w:firstLineChars="2000"/>
        <w:rPr>
          <w:rFonts w:hint="eastAsia" w:ascii="仿宋" w:hAnsi="仿宋" w:eastAsia="仿宋" w:cs="仿宋"/>
          <w:color w:val="auto"/>
          <w:sz w:val="24"/>
          <w:highlight w:val="none"/>
        </w:rPr>
      </w:pPr>
    </w:p>
    <w:p w14:paraId="7596AB24">
      <w:pPr>
        <w:spacing w:line="360" w:lineRule="auto"/>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582D9F8">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50A16592">
      <w:pPr>
        <w:adjustRightInd w:val="0"/>
        <w:snapToGrid w:val="0"/>
        <w:spacing w:line="360" w:lineRule="auto"/>
        <w:rPr>
          <w:rFonts w:hint="eastAsia" w:ascii="仿宋" w:hAnsi="仿宋" w:eastAsia="仿宋" w:cs="仿宋"/>
          <w:b/>
          <w:bCs/>
          <w:color w:val="auto"/>
          <w:sz w:val="24"/>
          <w:szCs w:val="28"/>
          <w:highlight w:val="none"/>
        </w:rPr>
      </w:pPr>
    </w:p>
    <w:p w14:paraId="5B8516BE">
      <w:pPr>
        <w:adjustRightInd w:val="0"/>
        <w:snapToGrid w:val="0"/>
        <w:spacing w:line="360" w:lineRule="auto"/>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注：</w:t>
      </w:r>
    </w:p>
    <w:p w14:paraId="484BB565">
      <w:pPr>
        <w:adjustRightInd w:val="0"/>
        <w:snapToGrid w:val="0"/>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8"/>
          <w:highlight w:val="none"/>
        </w:rPr>
        <w:t>1.本表内容根据</w:t>
      </w:r>
      <w:r>
        <w:rPr>
          <w:rFonts w:hint="eastAsia" w:ascii="仿宋" w:hAnsi="仿宋" w:eastAsia="仿宋" w:cs="仿宋"/>
          <w:b w:val="0"/>
          <w:bCs w:val="0"/>
          <w:color w:val="auto"/>
          <w:sz w:val="24"/>
          <w:szCs w:val="28"/>
          <w:highlight w:val="none"/>
          <w:lang w:eastAsia="zh-CN"/>
        </w:rPr>
        <w:t>谈判</w:t>
      </w:r>
      <w:r>
        <w:rPr>
          <w:rFonts w:hint="eastAsia" w:ascii="仿宋" w:hAnsi="仿宋" w:eastAsia="仿宋" w:cs="仿宋"/>
          <w:b w:val="0"/>
          <w:bCs w:val="0"/>
          <w:color w:val="auto"/>
          <w:sz w:val="24"/>
          <w:szCs w:val="28"/>
          <w:highlight w:val="none"/>
        </w:rPr>
        <w:t>文件</w:t>
      </w:r>
      <w:r>
        <w:rPr>
          <w:rFonts w:hint="eastAsia" w:ascii="仿宋" w:hAnsi="仿宋" w:eastAsia="仿宋" w:cs="仿宋"/>
          <w:b w:val="0"/>
          <w:bCs w:val="0"/>
          <w:color w:val="auto"/>
          <w:sz w:val="24"/>
          <w:szCs w:val="28"/>
          <w:highlight w:val="none"/>
          <w:lang w:val="en-US" w:eastAsia="zh-CN"/>
        </w:rPr>
        <w:t>中</w:t>
      </w:r>
      <w:r>
        <w:rPr>
          <w:rFonts w:hint="eastAsia" w:ascii="仿宋" w:hAnsi="仿宋" w:eastAsia="仿宋" w:cs="仿宋"/>
          <w:b w:val="0"/>
          <w:bCs w:val="0"/>
          <w:color w:val="auto"/>
          <w:sz w:val="24"/>
          <w:szCs w:val="28"/>
          <w:highlight w:val="none"/>
        </w:rPr>
        <w:t>要求</w:t>
      </w:r>
      <w:r>
        <w:rPr>
          <w:rFonts w:hint="eastAsia" w:ascii="仿宋" w:hAnsi="仿宋" w:eastAsia="仿宋" w:cs="仿宋"/>
          <w:b w:val="0"/>
          <w:bCs w:val="0"/>
          <w:color w:val="auto"/>
          <w:sz w:val="24"/>
          <w:szCs w:val="24"/>
          <w:highlight w:val="none"/>
        </w:rPr>
        <w:t>提供</w:t>
      </w:r>
      <w:r>
        <w:rPr>
          <w:rFonts w:hint="eastAsia" w:ascii="仿宋" w:hAnsi="仿宋" w:eastAsia="仿宋" w:cs="仿宋"/>
          <w:b w:val="0"/>
          <w:bCs w:val="0"/>
          <w:color w:val="auto"/>
          <w:sz w:val="24"/>
          <w:szCs w:val="24"/>
          <w:highlight w:val="none"/>
          <w:lang w:val="en-US" w:eastAsia="zh-CN"/>
        </w:rPr>
        <w:t>的</w:t>
      </w:r>
      <w:r>
        <w:rPr>
          <w:rFonts w:hint="eastAsia" w:ascii="仿宋" w:hAnsi="仿宋" w:eastAsia="仿宋" w:cs="仿宋"/>
          <w:b w:val="0"/>
          <w:bCs w:val="0"/>
          <w:color w:val="auto"/>
          <w:sz w:val="24"/>
          <w:szCs w:val="24"/>
          <w:highlight w:val="none"/>
        </w:rPr>
        <w:t>全部内容等所有费用</w:t>
      </w:r>
      <w:r>
        <w:rPr>
          <w:rFonts w:hint="eastAsia" w:ascii="仿宋" w:hAnsi="仿宋" w:eastAsia="仿宋" w:cs="仿宋"/>
          <w:b w:val="0"/>
          <w:bCs w:val="0"/>
          <w:color w:val="auto"/>
          <w:sz w:val="24"/>
          <w:szCs w:val="28"/>
          <w:highlight w:val="none"/>
        </w:rPr>
        <w:t>。</w:t>
      </w:r>
    </w:p>
    <w:p w14:paraId="5877B3D3">
      <w:pPr>
        <w:adjustRightInd w:val="0"/>
        <w:snapToGrid w:val="0"/>
        <w:spacing w:line="360" w:lineRule="auto"/>
        <w:ind w:firstLine="480" w:firstLineChars="200"/>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2.特殊事项在备注中注明。</w:t>
      </w:r>
    </w:p>
    <w:p w14:paraId="3D41BB96">
      <w:pPr>
        <w:adjustRightInd w:val="0"/>
        <w:snapToGrid w:val="0"/>
        <w:spacing w:line="360" w:lineRule="auto"/>
        <w:ind w:firstLine="480" w:firstLineChars="200"/>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3.表中大写金额与小写金额不一致的，以大写金额为准。</w:t>
      </w:r>
    </w:p>
    <w:p w14:paraId="47C08AE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068260A">
      <w:pPr>
        <w:spacing w:before="120" w:beforeLines="50" w:after="120" w:afterLines="50" w:line="360" w:lineRule="auto"/>
        <w:jc w:val="center"/>
        <w:outlineLvl w:val="2"/>
        <w:rPr>
          <w:rFonts w:hint="eastAsia" w:ascii="仿宋" w:hAnsi="仿宋" w:eastAsia="仿宋" w:cs="仿宋"/>
          <w:b/>
          <w:color w:val="auto"/>
          <w:sz w:val="24"/>
          <w:szCs w:val="28"/>
          <w:highlight w:val="none"/>
        </w:rPr>
      </w:pPr>
      <w:bookmarkStart w:id="244" w:name="_Toc31027"/>
      <w:bookmarkStart w:id="245" w:name="_Toc32226"/>
      <w:r>
        <w:rPr>
          <w:rFonts w:hint="eastAsia" w:ascii="仿宋" w:hAnsi="仿宋" w:eastAsia="仿宋" w:cs="仿宋"/>
          <w:b/>
          <w:color w:val="auto"/>
          <w:sz w:val="24"/>
          <w:highlight w:val="none"/>
          <w:lang w:val="en-US" w:eastAsia="zh-CN"/>
        </w:rPr>
        <w:t>十五</w:t>
      </w:r>
      <w:r>
        <w:rPr>
          <w:rFonts w:hint="eastAsia" w:ascii="仿宋" w:hAnsi="仿宋" w:eastAsia="仿宋" w:cs="仿宋"/>
          <w:b/>
          <w:color w:val="auto"/>
          <w:sz w:val="24"/>
          <w:highlight w:val="none"/>
        </w:rPr>
        <w:t>、</w:t>
      </w:r>
      <w:bookmarkEnd w:id="244"/>
      <w:bookmarkEnd w:id="245"/>
      <w:r>
        <w:rPr>
          <w:rFonts w:hint="eastAsia" w:ascii="仿宋" w:hAnsi="仿宋" w:eastAsia="仿宋" w:cs="仿宋"/>
          <w:b/>
          <w:color w:val="auto"/>
          <w:sz w:val="24"/>
          <w:szCs w:val="28"/>
          <w:highlight w:val="none"/>
        </w:rPr>
        <w:t>分项报价明细表</w:t>
      </w:r>
    </w:p>
    <w:tbl>
      <w:tblPr>
        <w:tblStyle w:val="16"/>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750"/>
        <w:gridCol w:w="1768"/>
        <w:gridCol w:w="1622"/>
        <w:gridCol w:w="2996"/>
      </w:tblGrid>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sz w:val="24"/>
                <w:highlight w:val="none"/>
              </w:rPr>
              <w:t>序号</w:t>
            </w:r>
          </w:p>
        </w:tc>
        <w:tc>
          <w:tcPr>
            <w:tcW w:w="1351" w:type="pct"/>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sz w:val="24"/>
                <w:highlight w:val="none"/>
                <w:lang w:val="en-US" w:eastAsia="zh-CN"/>
              </w:rPr>
              <w:t>服务内容</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sz w:val="24"/>
                <w:highlight w:val="none"/>
              </w:rPr>
              <w:t>项</w:t>
            </w:r>
          </w:p>
        </w:tc>
        <w:tc>
          <w:tcPr>
            <w:tcW w:w="797" w:type="pct"/>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sz w:val="24"/>
                <w:highlight w:val="none"/>
              </w:rPr>
              <w:t>单价</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元</w:t>
            </w:r>
            <w:r>
              <w:rPr>
                <w:rFonts w:hint="eastAsia" w:ascii="仿宋" w:hAnsi="仿宋" w:eastAsia="仿宋" w:cs="仿宋"/>
                <w:b/>
                <w:color w:val="auto"/>
                <w:sz w:val="24"/>
                <w:highlight w:val="none"/>
                <w:lang w:eastAsia="zh-CN"/>
              </w:rPr>
              <w:t>）</w:t>
            </w:r>
          </w:p>
        </w:tc>
        <w:tc>
          <w:tcPr>
            <w:tcW w:w="1472" w:type="pct"/>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351" w:type="pct"/>
            <w:vAlign w:val="center"/>
          </w:tcPr>
          <w:p w14:paraId="2BE06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869" w:type="pct"/>
            <w:vAlign w:val="center"/>
          </w:tcPr>
          <w:p w14:paraId="72BDD2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797" w:type="pct"/>
            <w:vAlign w:val="center"/>
          </w:tcPr>
          <w:p w14:paraId="544609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1472" w:type="pct"/>
            <w:vAlign w:val="center"/>
          </w:tcPr>
          <w:p w14:paraId="6213EC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351" w:type="pct"/>
            <w:vAlign w:val="center"/>
          </w:tcPr>
          <w:p w14:paraId="1DCEE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869" w:type="pct"/>
            <w:vAlign w:val="center"/>
          </w:tcPr>
          <w:p w14:paraId="2EA186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797" w:type="pct"/>
            <w:vAlign w:val="center"/>
          </w:tcPr>
          <w:p w14:paraId="35D873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1472" w:type="pct"/>
            <w:vAlign w:val="center"/>
          </w:tcPr>
          <w:p w14:paraId="0C360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r>
      <w:tr w14:paraId="7439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4CD2A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351" w:type="pct"/>
            <w:vAlign w:val="center"/>
          </w:tcPr>
          <w:p w14:paraId="12654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869" w:type="pct"/>
            <w:vAlign w:val="center"/>
          </w:tcPr>
          <w:p w14:paraId="4CA1D9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797" w:type="pct"/>
            <w:vAlign w:val="center"/>
          </w:tcPr>
          <w:p w14:paraId="3E5E1F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1472" w:type="pct"/>
            <w:vAlign w:val="center"/>
          </w:tcPr>
          <w:p w14:paraId="375CB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p>
        </w:tc>
        <w:tc>
          <w:tcPr>
            <w:tcW w:w="1351" w:type="pct"/>
            <w:vAlign w:val="center"/>
          </w:tcPr>
          <w:p w14:paraId="6A22FF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869" w:type="pct"/>
            <w:vAlign w:val="center"/>
          </w:tcPr>
          <w:p w14:paraId="6487C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797" w:type="pct"/>
            <w:vAlign w:val="center"/>
          </w:tcPr>
          <w:p w14:paraId="4F10D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1472" w:type="pct"/>
            <w:vAlign w:val="center"/>
          </w:tcPr>
          <w:p w14:paraId="5385B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r>
      <w:tr w14:paraId="4C81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79E30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p>
        </w:tc>
        <w:tc>
          <w:tcPr>
            <w:tcW w:w="1351" w:type="pct"/>
            <w:vAlign w:val="center"/>
          </w:tcPr>
          <w:p w14:paraId="20927D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合计</w:t>
            </w:r>
          </w:p>
        </w:tc>
        <w:tc>
          <w:tcPr>
            <w:tcW w:w="869" w:type="pct"/>
            <w:vAlign w:val="center"/>
          </w:tcPr>
          <w:p w14:paraId="411024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797" w:type="pct"/>
            <w:vAlign w:val="center"/>
          </w:tcPr>
          <w:p w14:paraId="5BA759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c>
          <w:tcPr>
            <w:tcW w:w="1472" w:type="pct"/>
            <w:vAlign w:val="center"/>
          </w:tcPr>
          <w:p w14:paraId="452E85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tc>
      </w:tr>
    </w:tbl>
    <w:p w14:paraId="22725CAC">
      <w:pPr>
        <w:pStyle w:val="35"/>
        <w:jc w:val="both"/>
        <w:rPr>
          <w:rFonts w:hint="eastAsia" w:ascii="仿宋" w:hAnsi="仿宋" w:eastAsia="仿宋" w:cs="仿宋"/>
          <w:b/>
          <w:bCs/>
          <w:color w:val="auto"/>
          <w:highlight w:val="none"/>
          <w:lang w:val="en-US" w:eastAsia="zh-CN"/>
        </w:rPr>
      </w:pPr>
    </w:p>
    <w:p w14:paraId="4A78CD44">
      <w:pPr>
        <w:pStyle w:val="35"/>
        <w:jc w:val="both"/>
        <w:rPr>
          <w:rFonts w:hint="eastAsia" w:ascii="仿宋" w:hAnsi="仿宋" w:eastAsia="仿宋" w:cs="仿宋"/>
          <w:b/>
          <w:bCs/>
          <w:color w:val="auto"/>
          <w:highlight w:val="none"/>
          <w:lang w:val="en-US" w:eastAsia="zh-CN"/>
        </w:rPr>
      </w:pPr>
    </w:p>
    <w:p w14:paraId="3E51ADE9">
      <w:pPr>
        <w:spacing w:line="360" w:lineRule="auto"/>
        <w:ind w:firstLine="4800" w:firstLineChars="2000"/>
        <w:rPr>
          <w:rFonts w:hint="eastAsia" w:ascii="仿宋" w:hAnsi="仿宋" w:eastAsia="仿宋" w:cs="仿宋"/>
          <w:color w:val="auto"/>
          <w:sz w:val="24"/>
          <w:highlight w:val="none"/>
        </w:rPr>
      </w:pPr>
    </w:p>
    <w:p w14:paraId="65396794">
      <w:pPr>
        <w:spacing w:line="360" w:lineRule="auto"/>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EF3FD3D">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13AADC3F">
      <w:pPr>
        <w:adjustRightInd w:val="0"/>
        <w:snapToGrid w:val="0"/>
        <w:spacing w:line="360" w:lineRule="auto"/>
        <w:rPr>
          <w:rFonts w:hint="eastAsia" w:ascii="仿宋" w:hAnsi="仿宋" w:eastAsia="仿宋" w:cs="仿宋"/>
          <w:b/>
          <w:bCs/>
          <w:color w:val="auto"/>
          <w:sz w:val="24"/>
          <w:szCs w:val="28"/>
          <w:highlight w:val="none"/>
        </w:rPr>
      </w:pPr>
    </w:p>
    <w:p w14:paraId="0B2A6C9F">
      <w:pPr>
        <w:adjustRightInd w:val="0"/>
        <w:snapToGrid w:val="0"/>
        <w:spacing w:line="360" w:lineRule="auto"/>
        <w:rPr>
          <w:rFonts w:hint="eastAsia" w:ascii="仿宋" w:hAnsi="仿宋" w:eastAsia="仿宋" w:cs="仿宋"/>
          <w:b w:val="0"/>
          <w:bCs w:val="0"/>
          <w:color w:val="auto"/>
          <w:sz w:val="24"/>
          <w:szCs w:val="28"/>
          <w:highlight w:val="none"/>
        </w:rPr>
      </w:pPr>
      <w:r>
        <w:rPr>
          <w:rFonts w:hint="eastAsia" w:ascii="仿宋" w:hAnsi="仿宋" w:eastAsia="仿宋" w:cs="仿宋"/>
          <w:b/>
          <w:bCs/>
          <w:color w:val="auto"/>
          <w:sz w:val="24"/>
          <w:szCs w:val="28"/>
          <w:highlight w:val="none"/>
        </w:rPr>
        <w:t>注：</w:t>
      </w:r>
      <w:r>
        <w:rPr>
          <w:rFonts w:hint="eastAsia" w:ascii="仿宋" w:hAnsi="仿宋" w:eastAsia="仿宋" w:cs="仿宋"/>
          <w:b w:val="0"/>
          <w:bCs w:val="0"/>
          <w:color w:val="auto"/>
          <w:sz w:val="24"/>
          <w:szCs w:val="28"/>
          <w:highlight w:val="none"/>
        </w:rPr>
        <w:t>表中所列服务为对应本项目需求的全部服务内容。如有漏项或缺项，供应商承担全部责任。</w:t>
      </w:r>
    </w:p>
    <w:p w14:paraId="1E5B60C8">
      <w:pPr>
        <w:keepNext/>
        <w:keepLines/>
        <w:widowControl w:val="0"/>
        <w:adjustRightInd w:val="0"/>
        <w:spacing w:before="0" w:after="0" w:line="560" w:lineRule="exact"/>
        <w:jc w:val="center"/>
        <w:textAlignment w:val="baseline"/>
        <w:outlineLvl w:val="1"/>
        <w:rPr>
          <w:rFonts w:hint="eastAsia" w:ascii="仿宋" w:hAnsi="仿宋" w:eastAsia="仿宋" w:cs="仿宋"/>
          <w:b/>
          <w:kern w:val="0"/>
          <w:sz w:val="24"/>
          <w:szCs w:val="24"/>
          <w:highlight w:val="none"/>
          <w:lang w:val="en-US" w:eastAsia="zh-CN" w:bidi="ar-SA"/>
        </w:rPr>
      </w:pPr>
      <w:bookmarkStart w:id="246" w:name="_Toc20329"/>
      <w:r>
        <w:rPr>
          <w:rFonts w:hint="eastAsia" w:ascii="仿宋" w:hAnsi="仿宋" w:eastAsia="仿宋" w:cs="仿宋"/>
          <w:b/>
          <w:color w:val="auto"/>
          <w:sz w:val="24"/>
          <w:highlight w:val="none"/>
        </w:rPr>
        <w:br w:type="page"/>
      </w:r>
      <w:r>
        <w:rPr>
          <w:rFonts w:hint="eastAsia" w:ascii="仿宋" w:hAnsi="仿宋" w:eastAsia="仿宋" w:cs="仿宋"/>
          <w:b/>
          <w:kern w:val="0"/>
          <w:sz w:val="24"/>
          <w:szCs w:val="24"/>
          <w:highlight w:val="none"/>
          <w:lang w:val="en-US" w:eastAsia="en-US" w:bidi="ar-SA"/>
        </w:rPr>
        <w:t>最后报价/第     次报价</w:t>
      </w:r>
      <w:r>
        <w:rPr>
          <w:rFonts w:hint="eastAsia" w:ascii="仿宋" w:hAnsi="仿宋" w:eastAsia="仿宋" w:cs="仿宋"/>
          <w:b/>
          <w:kern w:val="0"/>
          <w:sz w:val="24"/>
          <w:szCs w:val="24"/>
          <w:highlight w:val="none"/>
          <w:lang w:val="en-US" w:eastAsia="zh-CN" w:bidi="ar-SA"/>
        </w:rPr>
        <w:t>表</w:t>
      </w:r>
    </w:p>
    <w:p w14:paraId="6132DCAD">
      <w:pPr>
        <w:adjustRightInd w:val="0"/>
        <w:snapToGrid w:val="0"/>
        <w:spacing w:line="360" w:lineRule="auto"/>
        <w:ind w:firstLine="480" w:firstLineChars="200"/>
        <w:rPr>
          <w:rFonts w:hint="eastAsia" w:ascii="仿宋" w:hAnsi="仿宋" w:eastAsia="仿宋" w:cs="仿宋"/>
          <w:b w:val="0"/>
          <w:bCs w:val="0"/>
          <w:color w:val="auto"/>
          <w:sz w:val="24"/>
          <w:szCs w:val="28"/>
          <w:highlight w:val="none"/>
          <w:lang w:val="en-US" w:eastAsia="zh-CN"/>
        </w:rPr>
      </w:pPr>
    </w:p>
    <w:p w14:paraId="27E77419">
      <w:pPr>
        <w:spacing w:line="360" w:lineRule="auto"/>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项目编号：</w:t>
      </w:r>
    </w:p>
    <w:p w14:paraId="4E537E62">
      <w:pPr>
        <w:spacing w:line="360" w:lineRule="auto"/>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项目名称：</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36F2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83E5BB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c>
          <w:tcPr>
            <w:tcW w:w="3557" w:type="pct"/>
            <w:tcBorders>
              <w:left w:val="single" w:color="auto" w:sz="4" w:space="0"/>
            </w:tcBorders>
            <w:vAlign w:val="center"/>
          </w:tcPr>
          <w:p w14:paraId="3EB8381C">
            <w:pPr>
              <w:spacing w:line="360" w:lineRule="auto"/>
              <w:rPr>
                <w:rFonts w:hint="eastAsia" w:ascii="仿宋" w:hAnsi="仿宋" w:eastAsia="仿宋" w:cs="仿宋"/>
                <w:b/>
                <w:color w:val="auto"/>
                <w:sz w:val="24"/>
                <w:highlight w:val="none"/>
              </w:rPr>
            </w:pPr>
          </w:p>
        </w:tc>
      </w:tr>
      <w:tr w14:paraId="19B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ADB2391">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谈判</w:t>
            </w:r>
            <w:r>
              <w:rPr>
                <w:rFonts w:hint="eastAsia" w:ascii="仿宋" w:hAnsi="仿宋" w:eastAsia="仿宋" w:cs="仿宋"/>
                <w:b/>
                <w:color w:val="auto"/>
                <w:sz w:val="24"/>
                <w:highlight w:val="none"/>
              </w:rPr>
              <w:t>范围</w:t>
            </w:r>
          </w:p>
        </w:tc>
        <w:tc>
          <w:tcPr>
            <w:tcW w:w="3557" w:type="pct"/>
            <w:tcBorders>
              <w:left w:val="single" w:color="auto" w:sz="4" w:space="0"/>
            </w:tcBorders>
            <w:vAlign w:val="center"/>
          </w:tcPr>
          <w:p w14:paraId="188C22A6">
            <w:pPr>
              <w:widowControl/>
              <w:spacing w:line="360" w:lineRule="exact"/>
              <w:rPr>
                <w:rFonts w:hint="eastAsia" w:ascii="仿宋" w:hAnsi="仿宋" w:eastAsia="仿宋" w:cs="仿宋"/>
                <w:b/>
                <w:color w:val="auto"/>
                <w:sz w:val="24"/>
                <w:highlight w:val="none"/>
              </w:rPr>
            </w:pPr>
            <w:r>
              <w:rPr>
                <w:rFonts w:hint="eastAsia" w:ascii="仿宋" w:hAnsi="仿宋" w:eastAsia="仿宋" w:cs="仿宋"/>
                <w:color w:val="auto"/>
                <w:sz w:val="24"/>
                <w:szCs w:val="28"/>
                <w:highlight w:val="none"/>
              </w:rPr>
              <w:t>第</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包</w:t>
            </w:r>
          </w:p>
        </w:tc>
      </w:tr>
      <w:tr w14:paraId="0BD2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7F3DDC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w:t>
            </w:r>
          </w:p>
          <w:p w14:paraId="36D41C0C">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（详见备注说明）</w:t>
            </w:r>
          </w:p>
        </w:tc>
        <w:tc>
          <w:tcPr>
            <w:tcW w:w="3557" w:type="pct"/>
            <w:vAlign w:val="center"/>
          </w:tcPr>
          <w:p w14:paraId="7F277D72">
            <w:pPr>
              <w:snapToGrid w:val="0"/>
              <w:spacing w:line="360" w:lineRule="auto"/>
              <w:rPr>
                <w:rFonts w:hint="eastAsia" w:ascii="仿宋" w:hAnsi="仿宋" w:eastAsia="仿宋" w:cs="仿宋"/>
                <w:color w:val="auto"/>
                <w:sz w:val="24"/>
                <w:szCs w:val="28"/>
                <w:highlight w:val="none"/>
              </w:rPr>
            </w:pPr>
          </w:p>
          <w:p w14:paraId="35DEE6B1">
            <w:pPr>
              <w:snapToGrid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p w14:paraId="5BE270BB">
            <w:pPr>
              <w:spacing w:line="360" w:lineRule="auto"/>
              <w:ind w:right="-67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21FC7535">
            <w:pPr>
              <w:snapToGrid w:val="0"/>
              <w:spacing w:line="360" w:lineRule="auto"/>
              <w:rPr>
                <w:rFonts w:hint="eastAsia" w:ascii="仿宋" w:hAnsi="仿宋" w:eastAsia="仿宋" w:cs="仿宋"/>
                <w:b/>
                <w:color w:val="auto"/>
                <w:sz w:val="24"/>
                <w:highlight w:val="none"/>
              </w:rPr>
            </w:pPr>
          </w:p>
        </w:tc>
      </w:tr>
      <w:tr w14:paraId="1F55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617544">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c>
          <w:tcPr>
            <w:tcW w:w="3557" w:type="pct"/>
            <w:vAlign w:val="center"/>
          </w:tcPr>
          <w:p w14:paraId="1DE290A1">
            <w:pPr>
              <w:spacing w:line="360" w:lineRule="auto"/>
              <w:rPr>
                <w:rFonts w:hint="eastAsia" w:ascii="仿宋" w:hAnsi="仿宋" w:eastAsia="仿宋" w:cs="仿宋"/>
                <w:b/>
                <w:color w:val="auto"/>
                <w:sz w:val="24"/>
                <w:highlight w:val="none"/>
              </w:rPr>
            </w:pPr>
          </w:p>
        </w:tc>
      </w:tr>
    </w:tbl>
    <w:p w14:paraId="7A9D3FDD">
      <w:pPr>
        <w:adjustRightInd w:val="0"/>
        <w:snapToGrid w:val="0"/>
        <w:spacing w:line="360" w:lineRule="auto"/>
        <w:jc w:val="both"/>
        <w:rPr>
          <w:rFonts w:hint="eastAsia" w:ascii="仿宋" w:hAnsi="仿宋" w:eastAsia="仿宋" w:cs="仿宋"/>
          <w:b/>
          <w:sz w:val="24"/>
          <w:szCs w:val="24"/>
          <w:highlight w:val="none"/>
          <w:lang w:eastAsia="en-US"/>
        </w:rPr>
      </w:pPr>
    </w:p>
    <w:p w14:paraId="333231C2">
      <w:pPr>
        <w:spacing w:line="360" w:lineRule="auto"/>
        <w:ind w:firstLine="5040" w:firstLineChars="21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单位盖章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AE22BDE">
      <w:pPr>
        <w:spacing w:line="360" w:lineRule="auto"/>
        <w:ind w:firstLine="5040" w:firstLineChars="21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8F8F006">
      <w:pPr>
        <w:adjustRightInd w:val="0"/>
        <w:snapToGrid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w:t>
      </w:r>
    </w:p>
    <w:p w14:paraId="09743307">
      <w:pPr>
        <w:adjustRightInd w:val="0"/>
        <w:snapToGrid w:val="0"/>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（1）表中所列服务为对应本项目需求的全部服务内容。如有漏项或缺项，供应商承担全部责任。</w:t>
      </w:r>
    </w:p>
    <w:p w14:paraId="47567DF4">
      <w:pPr>
        <w:adjustRightInd w:val="0"/>
        <w:snapToGrid w:val="0"/>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考虑报价的方便，若采购文件无特殊规定，供应商在填写最后报价后，根据（第一次报价-最后报价）除以第一次报价后得出的优惠率视同为分项报价明细表中全部分项设备、工程量或服务的优惠浮动值（特定分项优惠除外），而不考虑措施项目清单和规费税金清单的金额改变。此优惠率调整原则适用于合同内价格的计算及项目增减、变更时价格的计算。</w:t>
      </w:r>
    </w:p>
    <w:p w14:paraId="1E05E0F1">
      <w:pPr>
        <w:adjustRightInd w:val="0"/>
        <w:snapToGrid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表中大写金额与小写金额不一致的，以大写金额为准。</w:t>
      </w:r>
    </w:p>
    <w:p w14:paraId="3E12F236">
      <w:pPr>
        <w:rPr>
          <w:rFonts w:hint="eastAsia" w:ascii="仿宋" w:hAnsi="仿宋" w:eastAsia="仿宋" w:cs="仿宋"/>
          <w:b/>
          <w:color w:val="auto"/>
          <w:sz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4）请供应商自行准备多份此表，用于现场报价时填写（该表无需装入响应文件内）。</w:t>
      </w:r>
    </w:p>
    <w:bookmarkEnd w:id="246"/>
    <w:p w14:paraId="634D5314">
      <w:pPr>
        <w:jc w:val="center"/>
        <w:rPr>
          <w:rFonts w:hint="eastAsia" w:ascii="仿宋" w:hAnsi="仿宋" w:eastAsia="仿宋" w:cs="仿宋"/>
          <w:b/>
          <w:bCs w:val="0"/>
          <w:color w:val="auto"/>
          <w:sz w:val="24"/>
          <w:highlight w:val="none"/>
          <w:lang w:val="en-US" w:eastAsia="zh-CN"/>
        </w:rPr>
      </w:pPr>
      <w:bookmarkStart w:id="247" w:name="_Toc26536"/>
      <w:bookmarkStart w:id="248" w:name="_Toc300210382"/>
      <w:bookmarkStart w:id="249" w:name="_Toc457768004"/>
      <w:bookmarkStart w:id="250" w:name="_Toc520299348"/>
      <w:bookmarkStart w:id="251" w:name="_Toc23860"/>
      <w:bookmarkStart w:id="252" w:name="_Hlk11701496"/>
    </w:p>
    <w:p w14:paraId="49454307">
      <w:pPr>
        <w:jc w:val="center"/>
        <w:rPr>
          <w:rFonts w:hint="eastAsia" w:ascii="仿宋" w:hAnsi="仿宋" w:eastAsia="仿宋" w:cs="仿宋"/>
          <w:b/>
          <w:bCs w:val="0"/>
          <w:color w:val="auto"/>
          <w:sz w:val="24"/>
          <w:highlight w:val="none"/>
          <w:lang w:val="en-US" w:eastAsia="zh-CN"/>
        </w:rPr>
      </w:pPr>
    </w:p>
    <w:p w14:paraId="2BE45B12">
      <w:pPr>
        <w:jc w:val="center"/>
        <w:rPr>
          <w:rFonts w:hint="eastAsia" w:ascii="仿宋" w:hAnsi="仿宋" w:eastAsia="仿宋" w:cs="仿宋"/>
          <w:b/>
          <w:bCs w:val="0"/>
          <w:color w:val="auto"/>
          <w:sz w:val="24"/>
          <w:highlight w:val="none"/>
          <w:lang w:val="en-US" w:eastAsia="zh-CN"/>
        </w:rPr>
      </w:pPr>
    </w:p>
    <w:p w14:paraId="49E71F92">
      <w:pPr>
        <w:jc w:val="center"/>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十六、关于符合本国产品标准的声明函</w:t>
      </w:r>
    </w:p>
    <w:p w14:paraId="0CC54606">
      <w:pP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 </w:t>
      </w:r>
    </w:p>
    <w:p w14:paraId="6070EEAA">
      <w:pPr>
        <w:keepNext w:val="0"/>
        <w:keepLines w:val="0"/>
        <w:widowControl/>
        <w:suppressLineNumbers w:val="0"/>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（如项目不适用或不符合本国产品扶持政策，不需此件）</w:t>
      </w:r>
    </w:p>
    <w:p w14:paraId="7AA409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color w:val="auto"/>
          <w:sz w:val="24"/>
          <w:highlight w:val="none"/>
          <w:lang w:val="en-US" w:eastAsia="zh-CN"/>
        </w:rPr>
      </w:pPr>
    </w:p>
    <w:p w14:paraId="4F4970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1.</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rPr>
        <w:t>（产品名称1）</w:t>
      </w:r>
      <w:r>
        <w:rPr>
          <w:rStyle w:val="21"/>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u w:val="none"/>
          <w:shd w:val="clear" w:color="auto" w:fill="FFFFFF"/>
          <w:vertAlign w:val="baseline"/>
        </w:rPr>
        <w:t>，生产厂为</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rPr>
        <w:t>（厂名）</w:t>
      </w:r>
      <w:r>
        <w:rPr>
          <w:rStyle w:val="21"/>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u w:val="none"/>
          <w:shd w:val="clear" w:color="auto" w:fill="FFFFFF"/>
          <w:vertAlign w:val="baseline"/>
        </w:rPr>
        <w:t>，厂址为</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rPr>
        <w:t>（生产厂址）</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的中国境内生产的组件成本占比≥</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在中国境内生产。</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在中国境内完成。</w:t>
      </w:r>
    </w:p>
    <w:p w14:paraId="78D672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2.</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rPr>
        <w:t>（产品名称2）</w:t>
      </w:r>
      <w:r>
        <w:rPr>
          <w:rFonts w:hint="eastAsia" w:ascii="仿宋" w:hAnsi="仿宋" w:eastAsia="仿宋" w:cs="仿宋"/>
          <w:i w:val="0"/>
          <w:iCs w:val="0"/>
          <w:caps w:val="0"/>
          <w:color w:val="auto"/>
          <w:spacing w:val="0"/>
          <w:sz w:val="24"/>
          <w:szCs w:val="24"/>
          <w:highlight w:val="none"/>
          <w:u w:val="none"/>
          <w:shd w:val="clear" w:color="auto" w:fill="FFFFFF"/>
          <w:vertAlign w:val="baseline"/>
        </w:rPr>
        <w:t>，生产厂为</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rPr>
        <w:t>（厂名）</w:t>
      </w:r>
      <w:r>
        <w:rPr>
          <w:rFonts w:hint="eastAsia" w:ascii="仿宋" w:hAnsi="仿宋" w:eastAsia="仿宋" w:cs="仿宋"/>
          <w:i w:val="0"/>
          <w:iCs w:val="0"/>
          <w:caps w:val="0"/>
          <w:color w:val="auto"/>
          <w:spacing w:val="0"/>
          <w:sz w:val="24"/>
          <w:szCs w:val="24"/>
          <w:highlight w:val="none"/>
          <w:u w:val="none"/>
          <w:shd w:val="clear" w:color="auto" w:fill="FFFFFF"/>
          <w:vertAlign w:val="baseline"/>
        </w:rPr>
        <w:t>，厂址为</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rPr>
        <w:t>（生产厂址）</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的中国境内生产的组件成本占比≥</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在中国境内生产。</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的</w:t>
      </w:r>
      <w:r>
        <w:rPr>
          <w:rStyle w:val="21"/>
          <w:rFonts w:hint="eastAsia" w:ascii="仿宋" w:hAnsi="仿宋" w:eastAsia="仿宋" w:cs="仿宋"/>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仿宋" w:hAnsi="仿宋" w:eastAsia="仿宋" w:cs="仿宋"/>
          <w:i w:val="0"/>
          <w:iCs w:val="0"/>
          <w:caps w:val="0"/>
          <w:color w:val="auto"/>
          <w:spacing w:val="0"/>
          <w:sz w:val="24"/>
          <w:szCs w:val="24"/>
          <w:highlight w:val="none"/>
          <w:u w:val="none"/>
          <w:shd w:val="clear" w:color="auto" w:fill="FFFFFF"/>
          <w:vertAlign w:val="baseline"/>
        </w:rPr>
        <w:t>在中国境内完成。</w:t>
      </w:r>
    </w:p>
    <w:p w14:paraId="73D175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w:t>
      </w:r>
    </w:p>
    <w:p w14:paraId="309109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单位盖章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仿宋" w:hAnsi="仿宋" w:eastAsia="仿宋" w:cs="仿宋"/>
          <w:i w:val="0"/>
          <w:iCs w:val="0"/>
          <w:caps w:val="0"/>
          <w:color w:val="auto"/>
          <w:spacing w:val="0"/>
          <w:sz w:val="24"/>
          <w:szCs w:val="24"/>
          <w:highlight w:val="none"/>
          <w:u w:val="none"/>
          <w:shd w:val="clear" w:color="auto" w:fill="FFFFFF"/>
          <w:vertAlign w:val="baseli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65DB98D7">
      <w:pPr>
        <w:tabs>
          <w:tab w:val="left" w:pos="4620"/>
        </w:tabs>
        <w:spacing w:line="360" w:lineRule="auto"/>
        <w:jc w:val="left"/>
        <w:rPr>
          <w:rFonts w:hint="eastAsia" w:ascii="仿宋" w:hAnsi="仿宋" w:eastAsia="仿宋" w:cs="仿宋"/>
          <w:b/>
          <w:color w:val="auto"/>
          <w:sz w:val="24"/>
          <w:szCs w:val="24"/>
          <w:highlight w:val="none"/>
          <w:lang w:val="en-US" w:eastAsia="zh-CN"/>
        </w:rPr>
      </w:pPr>
    </w:p>
    <w:p w14:paraId="7911893F">
      <w:pPr>
        <w:tabs>
          <w:tab w:val="left" w:pos="4620"/>
        </w:tabs>
        <w:spacing w:line="360" w:lineRule="auto"/>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color w:val="auto"/>
          <w:sz w:val="24"/>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3.上述声明函中标注</w:t>
      </w:r>
      <w:r>
        <w:rPr>
          <w:rFonts w:hint="eastAsia" w:ascii="仿宋" w:hAnsi="仿宋" w:eastAsia="仿宋" w:cs="仿宋"/>
          <w:b w:val="0"/>
          <w:bCs/>
          <w:color w:val="auto"/>
          <w:sz w:val="24"/>
          <w:szCs w:val="24"/>
          <w:highlight w:val="none"/>
          <w:u w:val="single"/>
          <w:lang w:val="en-US" w:eastAsia="zh-CN"/>
        </w:rPr>
        <w:t xml:space="preserve">  /  </w:t>
      </w:r>
      <w:r>
        <w:rPr>
          <w:rFonts w:hint="eastAsia" w:ascii="仿宋" w:hAnsi="仿宋" w:eastAsia="仿宋" w:cs="仿宋"/>
          <w:b w:val="0"/>
          <w:bCs/>
          <w:color w:val="auto"/>
          <w:sz w:val="24"/>
          <w:szCs w:val="24"/>
          <w:highlight w:val="none"/>
          <w:lang w:val="en-US" w:eastAsia="zh-CN"/>
        </w:rPr>
        <w:t>的，无需填写。</w:t>
      </w:r>
    </w:p>
    <w:p w14:paraId="6135E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lang w:val="en-US" w:eastAsia="zh-CN"/>
        </w:rPr>
      </w:pPr>
      <w:r>
        <w:rPr>
          <w:rFonts w:hint="eastAsia" w:ascii="仿宋" w:hAnsi="仿宋" w:eastAsia="仿宋" w:cs="仿宋"/>
          <w:b w:val="0"/>
          <w:bCs/>
          <w:color w:val="auto"/>
          <w:sz w:val="24"/>
          <w:szCs w:val="24"/>
          <w:highlight w:val="none"/>
          <w:lang w:val="en-US" w:eastAsia="zh-CN"/>
        </w:rPr>
        <w:t>4.供应商应当结合“十五、分项报价明细表”中所投货物相关信息进行填写。</w:t>
      </w:r>
    </w:p>
    <w:p w14:paraId="3CCC6DAB">
      <w:pP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br w:type="page"/>
      </w:r>
    </w:p>
    <w:bookmarkEnd w:id="247"/>
    <w:bookmarkEnd w:id="248"/>
    <w:bookmarkEnd w:id="249"/>
    <w:bookmarkEnd w:id="250"/>
    <w:bookmarkEnd w:id="251"/>
    <w:bookmarkEnd w:id="252"/>
    <w:p w14:paraId="2DBB4CD1">
      <w:pPr>
        <w:spacing w:line="360" w:lineRule="auto"/>
        <w:jc w:val="center"/>
        <w:outlineLvl w:val="1"/>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十七、其他报价响应证明材料</w:t>
      </w:r>
    </w:p>
    <w:p w14:paraId="74C2AD9B">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提供符合</w:t>
      </w:r>
      <w:r>
        <w:rPr>
          <w:rFonts w:hint="eastAsia" w:ascii="仿宋" w:hAnsi="仿宋" w:eastAsia="仿宋" w:cs="仿宋"/>
          <w:color w:val="auto"/>
          <w:sz w:val="24"/>
          <w:highlight w:val="none"/>
          <w:lang w:val="en-US" w:eastAsia="zh-CN"/>
        </w:rPr>
        <w:t>谈判文件要求的其他报价响应</w:t>
      </w:r>
      <w:r>
        <w:rPr>
          <w:rFonts w:hint="eastAsia" w:ascii="仿宋" w:hAnsi="仿宋" w:eastAsia="仿宋" w:cs="仿宋"/>
          <w:color w:val="auto"/>
          <w:sz w:val="24"/>
          <w:highlight w:val="none"/>
        </w:rPr>
        <w:t>证明</w:t>
      </w:r>
      <w:r>
        <w:rPr>
          <w:rFonts w:hint="eastAsia" w:ascii="仿宋" w:hAnsi="仿宋" w:eastAsia="仿宋" w:cs="仿宋"/>
          <w:color w:val="auto"/>
          <w:sz w:val="24"/>
          <w:highlight w:val="none"/>
          <w:lang w:val="en-US" w:eastAsia="zh-CN"/>
        </w:rPr>
        <w:t>材料</w:t>
      </w:r>
      <w:r>
        <w:rPr>
          <w:rFonts w:hint="eastAsia" w:ascii="仿宋" w:hAnsi="仿宋" w:eastAsia="仿宋" w:cs="仿宋"/>
          <w:color w:val="auto"/>
          <w:sz w:val="24"/>
          <w:highlight w:val="none"/>
          <w:lang w:eastAsia="zh-CN"/>
        </w:rPr>
        <w:t>）</w:t>
      </w:r>
    </w:p>
    <w:p w14:paraId="13BEE9B9">
      <w:pPr>
        <w:spacing w:line="360" w:lineRule="auto"/>
        <w:rPr>
          <w:rFonts w:hint="eastAsia" w:ascii="仿宋" w:hAnsi="仿宋" w:eastAsia="仿宋" w:cs="仿宋"/>
          <w:color w:val="auto"/>
          <w:sz w:val="24"/>
          <w:highlight w:val="none"/>
        </w:rPr>
      </w:pPr>
    </w:p>
    <w:p w14:paraId="43775FAA">
      <w:pPr>
        <w:widowControl/>
        <w:jc w:val="left"/>
        <w:rPr>
          <w:rFonts w:hint="eastAsia" w:ascii="仿宋" w:hAnsi="仿宋" w:eastAsia="仿宋" w:cs="仿宋"/>
          <w:color w:val="auto"/>
          <w:sz w:val="24"/>
          <w:highlight w:val="none"/>
        </w:rPr>
      </w:pPr>
    </w:p>
    <w:sectPr>
      <w:headerReference r:id="rId6" w:type="default"/>
      <w:footerReference r:id="rId7"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1044634-D5BD-4DD8-93BC-B389A9AC3292}"/>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2" w:fontKey="{9DDF2516-FBEC-4D94-AD59-A4F6FC85260C}"/>
  </w:font>
  <w:font w:name="方正仿宋_GB2312">
    <w:panose1 w:val="02000000000000000000"/>
    <w:charset w:val="86"/>
    <w:family w:val="auto"/>
    <w:pitch w:val="default"/>
    <w:sig w:usb0="A00002BF" w:usb1="184F6CFA" w:usb2="00000012" w:usb3="00000000" w:csb0="00040001" w:csb1="00000000"/>
    <w:embedRegular r:id="rId3" w:fontKey="{E1915857-19AD-4BE3-8AC8-3DF69825C73A}"/>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4F1A">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55FC5">
                          <w:pPr>
                            <w:pStyle w:val="9"/>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55FC5">
                    <w:pPr>
                      <w:pStyle w:val="9"/>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A9C7">
    <w:pPr>
      <w:spacing w:line="189" w:lineRule="auto"/>
      <w:ind w:left="4430"/>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B57F6">
                          <w:pPr>
                            <w:pStyle w:val="9"/>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AB57F6">
                    <w:pPr>
                      <w:pStyle w:val="9"/>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8E6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13B7E">
                          <w:pPr>
                            <w:pStyle w:val="9"/>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54</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D13B7E">
                    <w:pPr>
                      <w:pStyle w:val="9"/>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54</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88377">
    <w:pPr>
      <w:pStyle w:val="10"/>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FB64">
    <w:pPr>
      <w:pStyle w:val="1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532DA"/>
    <w:multiLevelType w:val="singleLevel"/>
    <w:tmpl w:val="4E3532DA"/>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49C3"/>
    <w:rsid w:val="01C73ACA"/>
    <w:rsid w:val="02FE0807"/>
    <w:rsid w:val="041C1A99"/>
    <w:rsid w:val="04AC1F40"/>
    <w:rsid w:val="05031C1C"/>
    <w:rsid w:val="050704DC"/>
    <w:rsid w:val="06DE46EF"/>
    <w:rsid w:val="07222102"/>
    <w:rsid w:val="09B30627"/>
    <w:rsid w:val="09BC5A73"/>
    <w:rsid w:val="0B496603"/>
    <w:rsid w:val="0BCA5242"/>
    <w:rsid w:val="0D735465"/>
    <w:rsid w:val="0E6A75AB"/>
    <w:rsid w:val="0EC85D9D"/>
    <w:rsid w:val="12137217"/>
    <w:rsid w:val="14C960BE"/>
    <w:rsid w:val="1602669E"/>
    <w:rsid w:val="172031F9"/>
    <w:rsid w:val="1C2F794E"/>
    <w:rsid w:val="1D5C552C"/>
    <w:rsid w:val="1EAE27A1"/>
    <w:rsid w:val="1FA520EA"/>
    <w:rsid w:val="246833F2"/>
    <w:rsid w:val="25751939"/>
    <w:rsid w:val="25C32FD6"/>
    <w:rsid w:val="27442A3F"/>
    <w:rsid w:val="28481571"/>
    <w:rsid w:val="28B22DF8"/>
    <w:rsid w:val="29CC245E"/>
    <w:rsid w:val="2AC744E6"/>
    <w:rsid w:val="2D271CE7"/>
    <w:rsid w:val="2D8F19F0"/>
    <w:rsid w:val="2E3305CD"/>
    <w:rsid w:val="2EA61FCF"/>
    <w:rsid w:val="2ED413F6"/>
    <w:rsid w:val="2EE93382"/>
    <w:rsid w:val="2EFE6F8A"/>
    <w:rsid w:val="30615B2E"/>
    <w:rsid w:val="30ED55C0"/>
    <w:rsid w:val="315E0057"/>
    <w:rsid w:val="326C0223"/>
    <w:rsid w:val="330A7AD0"/>
    <w:rsid w:val="33BB6C7E"/>
    <w:rsid w:val="38C904AC"/>
    <w:rsid w:val="397D0775"/>
    <w:rsid w:val="39E14E63"/>
    <w:rsid w:val="3C7D09E4"/>
    <w:rsid w:val="3D5074C2"/>
    <w:rsid w:val="3D5F396D"/>
    <w:rsid w:val="3F49270E"/>
    <w:rsid w:val="40C63523"/>
    <w:rsid w:val="41833569"/>
    <w:rsid w:val="424067B8"/>
    <w:rsid w:val="43136719"/>
    <w:rsid w:val="45DE30BD"/>
    <w:rsid w:val="46E55978"/>
    <w:rsid w:val="4AA04DE4"/>
    <w:rsid w:val="4C142B9E"/>
    <w:rsid w:val="4C673E0C"/>
    <w:rsid w:val="4C883D82"/>
    <w:rsid w:val="4D420CFF"/>
    <w:rsid w:val="4E5362BA"/>
    <w:rsid w:val="4F952A3E"/>
    <w:rsid w:val="50AB1D0E"/>
    <w:rsid w:val="515F48B0"/>
    <w:rsid w:val="51F62EEA"/>
    <w:rsid w:val="53400F13"/>
    <w:rsid w:val="546926EB"/>
    <w:rsid w:val="549E74C0"/>
    <w:rsid w:val="577B1659"/>
    <w:rsid w:val="59D95C1D"/>
    <w:rsid w:val="5A094754"/>
    <w:rsid w:val="5D1A3BC1"/>
    <w:rsid w:val="5D2E5CFC"/>
    <w:rsid w:val="5D5E0913"/>
    <w:rsid w:val="5DF6338A"/>
    <w:rsid w:val="60AE00AB"/>
    <w:rsid w:val="611F06DD"/>
    <w:rsid w:val="61F77F99"/>
    <w:rsid w:val="62045801"/>
    <w:rsid w:val="64F47DAF"/>
    <w:rsid w:val="654C3747"/>
    <w:rsid w:val="66A01F9C"/>
    <w:rsid w:val="6BBE319E"/>
    <w:rsid w:val="6CE44A97"/>
    <w:rsid w:val="6F746987"/>
    <w:rsid w:val="6F77788C"/>
    <w:rsid w:val="73427888"/>
    <w:rsid w:val="73B506A3"/>
    <w:rsid w:val="747E393A"/>
    <w:rsid w:val="767E397C"/>
    <w:rsid w:val="781C4B6E"/>
    <w:rsid w:val="79B50BA2"/>
    <w:rsid w:val="7B8B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Arial" w:hAnsi="Arial" w:eastAsia="黑体" w:cs="Arial"/>
    </w:r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customStyle="1" w:styleId="6">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index 1"/>
    <w:basedOn w:val="1"/>
    <w:next w:val="1"/>
    <w:qFormat/>
    <w:uiPriority w:val="0"/>
    <w:pPr>
      <w:jc w:val="center"/>
    </w:pPr>
    <w:rPr>
      <w:rFonts w:ascii="Arial" w:hAnsi="Arial" w:eastAsia="Arial" w:cs="Arial"/>
      <w:b/>
      <w:bCs/>
      <w:sz w:val="28"/>
    </w:rPr>
  </w:style>
  <w:style w:type="paragraph" w:styleId="15">
    <w:name w:val="Body Text First Indent"/>
    <w:basedOn w:val="5"/>
    <w:next w:val="1"/>
    <w:semiHidden/>
    <w:unhideWhenUsed/>
    <w:qFormat/>
    <w:uiPriority w:val="99"/>
    <w:pPr>
      <w:ind w:firstLine="420" w:firstLineChars="100"/>
    </w:p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llowedHyperlink"/>
    <w:basedOn w:val="18"/>
    <w:qFormat/>
    <w:uiPriority w:val="0"/>
    <w:rPr>
      <w:color w:val="800080"/>
      <w:u w:val="none"/>
    </w:rPr>
  </w:style>
  <w:style w:type="character" w:styleId="21">
    <w:name w:val="Emphasis"/>
    <w:basedOn w:val="18"/>
    <w:qFormat/>
    <w:uiPriority w:val="0"/>
    <w:rPr>
      <w:i/>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none"/>
    </w:rPr>
  </w:style>
  <w:style w:type="character" w:styleId="27">
    <w:name w:val="HTML Code"/>
    <w:basedOn w:val="18"/>
    <w:qFormat/>
    <w:uiPriority w:val="0"/>
    <w:rPr>
      <w:rFonts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4">
    <w:name w:val="纯文本1"/>
    <w:basedOn w:val="1"/>
    <w:autoRedefine/>
    <w:qFormat/>
    <w:uiPriority w:val="0"/>
    <w:rPr>
      <w:rFonts w:ascii="Arial" w:hAnsi="Arial" w:eastAsia="Arial" w:cstheme="minorBidi"/>
    </w:rPr>
  </w:style>
  <w:style w:type="paragraph" w:customStyle="1" w:styleId="35">
    <w:name w:val="Char Char Char Char Char Char Char1 Char"/>
    <w:basedOn w:val="1"/>
    <w:autoRedefine/>
    <w:qFormat/>
    <w:uiPriority w:val="0"/>
    <w:rPr>
      <w:rFonts w:ascii="Arial" w:hAnsi="Arial" w:eastAsia="宋体" w:cs="Arial"/>
      <w:sz w:val="24"/>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autoRedefine/>
    <w:semiHidden/>
    <w:qFormat/>
    <w:uiPriority w:val="0"/>
    <w:rPr>
      <w:rFonts w:ascii="Arial" w:hAnsi="Arial" w:eastAsia="Arial" w:cs="Arial"/>
      <w:sz w:val="21"/>
      <w:szCs w:val="21"/>
      <w:lang w:val="en-US" w:eastAsia="en-US" w:bidi="ar-SA"/>
    </w:rPr>
  </w:style>
  <w:style w:type="character" w:customStyle="1" w:styleId="38">
    <w:name w:val="first-child"/>
    <w:basedOn w:val="18"/>
    <w:qFormat/>
    <w:uiPriority w:val="0"/>
  </w:style>
  <w:style w:type="character" w:customStyle="1" w:styleId="39">
    <w:name w:val="layui-this"/>
    <w:basedOn w:val="18"/>
    <w:qFormat/>
    <w:uiPriority w:val="0"/>
    <w:rPr>
      <w:bdr w:val="single" w:color="EEEEEE" w:sz="4" w:space="0"/>
      <w:shd w:val="clear" w:fill="FFFFFF"/>
    </w:rPr>
  </w:style>
  <w:style w:type="character" w:customStyle="1" w:styleId="40">
    <w:name w:val="hover5"/>
    <w:basedOn w:val="18"/>
    <w:qFormat/>
    <w:uiPriority w:val="0"/>
    <w:rPr>
      <w:u w:val="single"/>
    </w:rPr>
  </w:style>
  <w:style w:type="character" w:customStyle="1" w:styleId="41">
    <w:name w:val="hover4"/>
    <w:basedOn w:val="18"/>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9814</Words>
  <Characters>10453</Characters>
  <Lines>0</Lines>
  <Paragraphs>0</Paragraphs>
  <TotalTime>27</TotalTime>
  <ScaleCrop>false</ScaleCrop>
  <LinksUpToDate>false</LinksUpToDate>
  <CharactersWithSpaces>10552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安澜</cp:lastModifiedBy>
  <dcterms:modified xsi:type="dcterms:W3CDTF">2026-06-15T09:54:43Z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B94EE046FA6D458B9C0A70C4B25B86FE_13</vt:lpwstr>
  </property>
  <property fmtid="{D5CDD505-2E9C-101B-9397-08002B2CF9AE}" pid="4" name="KSOTemplateDocerSaveRecord">
    <vt:lpwstr>eyJoZGlkIjoiYjcyY2NkNzZjNzQ1YTU3ZmI1ZGE2ZTIzZTc4ZjM2NjUiLCJ1c2VySWQiOiI5MjYzMDEwMDgifQ==</vt:lpwstr>
  </property>
</Properties>
</file>